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Default="00C27FA8" w:rsidP="006B4774">
      <w:pPr>
        <w:pStyle w:val="Title"/>
        <w:rPr>
          <w:lang w:val="sv-SE"/>
        </w:rPr>
      </w:pPr>
      <w:r>
        <w:rPr>
          <w:lang w:val="sv-SE"/>
        </w:rPr>
        <w:t>Narrowband LTE - Random Access</w:t>
      </w:r>
      <w:r w:rsidR="001122B7">
        <w:rPr>
          <w:lang w:val="sv-SE"/>
        </w:rPr>
        <w:t xml:space="preserve"> Design</w:t>
      </w:r>
    </w:p>
    <w:p w:rsidR="006E426D" w:rsidRPr="00C258E7" w:rsidRDefault="009F559D" w:rsidP="005F4CB3">
      <w:pPr>
        <w:pStyle w:val="Heading1"/>
        <w:rPr>
          <w:lang w:val="sv-SE"/>
        </w:rPr>
      </w:pPr>
      <w:r>
        <w:rPr>
          <w:lang w:val="sv-SE"/>
        </w:rPr>
        <w:t>Introduction</w:t>
      </w:r>
    </w:p>
    <w:p w:rsidR="006E426D" w:rsidRDefault="002D4039" w:rsidP="006E426D">
      <w:pPr>
        <w:pStyle w:val="BodyText"/>
      </w:pPr>
      <w:r>
        <w:t>At GERAN#62 a new</w:t>
      </w:r>
      <w:r w:rsidR="006E426D">
        <w:t xml:space="preserve"> study </w:t>
      </w:r>
      <w:r>
        <w:t xml:space="preserve">item </w:t>
      </w:r>
      <w:r w:rsidR="006E426D">
        <w:t xml:space="preserve">named </w:t>
      </w:r>
      <w:r w:rsidR="006E426D" w:rsidRPr="00061930">
        <w:rPr>
          <w:i/>
        </w:rPr>
        <w:t>Cellular System Support for Ultra Low Complexity and Low Throughput Internet of Things</w:t>
      </w:r>
      <w:r w:rsidR="006E426D">
        <w:t xml:space="preserve"> (WI code: </w:t>
      </w:r>
      <w:r w:rsidR="006E426D" w:rsidRPr="003F6188">
        <w:t>FS_IoT_LC)</w:t>
      </w:r>
      <w:r w:rsidR="007752FE">
        <w:t xml:space="preserve">  was approved to meet the needs of cellular internet of things</w:t>
      </w:r>
      <w:r w:rsidR="006E426D">
        <w:t xml:space="preserve">  </w:t>
      </w:r>
      <w:r w:rsidR="006E426D">
        <w:fldChar w:fldCharType="begin"/>
      </w:r>
      <w:r w:rsidR="006E426D">
        <w:instrText xml:space="preserve"> REF _Ref403069021 \r \h </w:instrText>
      </w:r>
      <w:r w:rsidR="006E426D">
        <w:fldChar w:fldCharType="separate"/>
      </w:r>
      <w:r w:rsidR="00616D87">
        <w:t>[1]</w:t>
      </w:r>
      <w:r w:rsidR="006E426D">
        <w:fldChar w:fldCharType="end"/>
      </w:r>
      <w:r w:rsidR="006E426D">
        <w:t>.</w:t>
      </w:r>
      <w:r>
        <w:t xml:space="preserve"> </w:t>
      </w:r>
      <w:r w:rsidR="006E426D">
        <w:t xml:space="preserve">The study is open to both </w:t>
      </w:r>
      <w:r w:rsidR="006E426D">
        <w:rPr>
          <w:color w:val="000000"/>
        </w:rPr>
        <w:t>a non-legacy based design, and/or a backward compatible evolution of GSM/EDGE</w:t>
      </w:r>
      <w:r w:rsidR="006E426D">
        <w:t>.</w:t>
      </w:r>
    </w:p>
    <w:p w:rsidR="00642503" w:rsidRDefault="00A558DC" w:rsidP="005F4CB3">
      <w:pPr>
        <w:pStyle w:val="BodyText"/>
      </w:pPr>
      <w:r>
        <w:t>A narrowband</w:t>
      </w:r>
      <w:r w:rsidR="00642503">
        <w:t xml:space="preserve"> </w:t>
      </w:r>
      <w:r>
        <w:t>LTE based solution</w:t>
      </w:r>
      <w:r w:rsidR="00642503">
        <w:t xml:space="preserve"> (called NB-LTE) </w:t>
      </w:r>
      <w:r>
        <w:t>is proposed in</w:t>
      </w:r>
      <w:r w:rsidR="00132BEB">
        <w:t xml:space="preserve"> </w:t>
      </w:r>
      <w:r w:rsidR="00132BEB">
        <w:fldChar w:fldCharType="begin"/>
      </w:r>
      <w:r w:rsidR="00132BEB">
        <w:instrText xml:space="preserve"> REF _Ref425173537 \r \h </w:instrText>
      </w:r>
      <w:r w:rsidR="00132BEB">
        <w:fldChar w:fldCharType="separate"/>
      </w:r>
      <w:r w:rsidR="00616D87">
        <w:t>[3]</w:t>
      </w:r>
      <w:r w:rsidR="00132BEB">
        <w:fldChar w:fldCharType="end"/>
      </w:r>
      <w:r w:rsidR="00642503">
        <w:t>. The document provide</w:t>
      </w:r>
      <w:r w:rsidR="007C7B64">
        <w:t xml:space="preserve">s a high level </w:t>
      </w:r>
      <w:r w:rsidR="00642503">
        <w:t xml:space="preserve">description </w:t>
      </w:r>
      <w:r w:rsidR="00D87DDB">
        <w:t xml:space="preserve">of </w:t>
      </w:r>
      <w:r w:rsidR="00642503">
        <w:t>the random access concept in NB-</w:t>
      </w:r>
      <w:r w:rsidR="00D87DDB">
        <w:t>LTE such as the subcarrier spacing and multiplex</w:t>
      </w:r>
      <w:r w:rsidR="00642503">
        <w:t>ing. This contribution provides a more detailed description</w:t>
      </w:r>
      <w:r w:rsidR="00D87DDB">
        <w:t xml:space="preserve"> regarding </w:t>
      </w:r>
      <w:r w:rsidR="00642503">
        <w:t>the random access channel in NB-</w:t>
      </w:r>
      <w:r w:rsidR="00D87DDB">
        <w:t>LTE</w:t>
      </w:r>
      <w:r w:rsidR="00642503">
        <w:t>.</w:t>
      </w:r>
    </w:p>
    <w:p w:rsidR="001C643B" w:rsidRDefault="00642503" w:rsidP="005F4CB3">
      <w:pPr>
        <w:pStyle w:val="BodyText"/>
      </w:pPr>
      <w:r>
        <w:t xml:space="preserve">Related performance evaluation can be found in </w:t>
      </w:r>
      <w:r>
        <w:fldChar w:fldCharType="begin"/>
      </w:r>
      <w:r>
        <w:instrText xml:space="preserve"> REF _Ref426014464 \r \h </w:instrText>
      </w:r>
      <w:r>
        <w:fldChar w:fldCharType="separate"/>
      </w:r>
      <w:r w:rsidR="00616D87">
        <w:t>[4]</w:t>
      </w:r>
      <w:r>
        <w:fldChar w:fldCharType="end"/>
      </w:r>
      <w:r w:rsidR="00D87DDB">
        <w:t>.</w:t>
      </w:r>
    </w:p>
    <w:p w:rsidR="008136E8" w:rsidRDefault="008C63C3" w:rsidP="008136E8">
      <w:pPr>
        <w:pStyle w:val="Heading1"/>
      </w:pPr>
      <w:r>
        <w:t>Random Access Usages and Procedures</w:t>
      </w:r>
    </w:p>
    <w:p w:rsidR="008136E8" w:rsidRDefault="008136E8" w:rsidP="008136E8">
      <w:r>
        <w:t xml:space="preserve">In </w:t>
      </w:r>
      <w:r w:rsidR="006B4774">
        <w:t xml:space="preserve">the </w:t>
      </w:r>
      <w:r>
        <w:t xml:space="preserve">existing LTE random access design, </w:t>
      </w:r>
      <w:r w:rsidR="00132BEB">
        <w:t xml:space="preserve">random access serves </w:t>
      </w:r>
      <w:r w:rsidR="00AD1EAE">
        <w:t xml:space="preserve">multiple purposes such as initial access when establishing a radio link, scheduling request, etc. Among others, a main objective of random access is to achieve uplink synchronization, which is important for maintaining the uplink orthogonality in LTE. </w:t>
      </w:r>
    </w:p>
    <w:p w:rsidR="000704FA" w:rsidRDefault="000704FA" w:rsidP="008136E8">
      <w:r>
        <w:t xml:space="preserve">LTE random access can be either contention-based or contention-free. </w:t>
      </w:r>
      <w:r w:rsidR="002A4D21">
        <w:t>The contention-based random access procedure consists of four steps</w:t>
      </w:r>
      <w:r w:rsidR="000D2446">
        <w:t>,</w:t>
      </w:r>
      <w:r w:rsidR="00593C8C">
        <w:t xml:space="preserve"> as illustrated in </w:t>
      </w:r>
      <w:r w:rsidR="00593C8C">
        <w:fldChar w:fldCharType="begin"/>
      </w:r>
      <w:r w:rsidR="00593C8C">
        <w:instrText xml:space="preserve"> REF _Ref424903400 \h </w:instrText>
      </w:r>
      <w:r w:rsidR="00593C8C">
        <w:fldChar w:fldCharType="separate"/>
      </w:r>
      <w:r w:rsidR="00616D87">
        <w:t xml:space="preserve">Figure </w:t>
      </w:r>
      <w:r w:rsidR="00616D87">
        <w:rPr>
          <w:noProof/>
        </w:rPr>
        <w:t>1</w:t>
      </w:r>
      <w:r w:rsidR="00593C8C">
        <w:fldChar w:fldCharType="end"/>
      </w:r>
      <w:r w:rsidR="00593C8C">
        <w:t>. Note that only the first step involves physical-layer processing specifically designed for random access, while the remaining three steps follow the same physical-layer processing used in uplink and downlink data transmission. For contention-free random access, the UE uses reserved preambles assigned by the base station. In this case, contention resolution is not needed, and thus only Steps 1 and 2 are required.</w:t>
      </w:r>
    </w:p>
    <w:p w:rsidR="00593C8C" w:rsidRDefault="00593C8C" w:rsidP="00593C8C">
      <w:pPr>
        <w:jc w:val="center"/>
      </w:pPr>
      <w:r w:rsidRPr="005132EF">
        <w:object w:dxaOrig="4052" w:dyaOrig="41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.85pt;height:210.35pt" o:ole="">
            <v:imagedata r:id="rId9" o:title=""/>
          </v:shape>
          <o:OLEObject Type="Embed" ProgID="Visio.Drawing.11" ShapeID="_x0000_i1025" DrawAspect="Content" ObjectID="_1500205811" r:id="rId10"/>
        </w:object>
      </w:r>
    </w:p>
    <w:p w:rsidR="00593C8C" w:rsidRDefault="00593C8C" w:rsidP="00593C8C">
      <w:pPr>
        <w:pStyle w:val="Caption"/>
      </w:pPr>
      <w:bookmarkStart w:id="0" w:name="_Ref424903400"/>
      <w:r>
        <w:lastRenderedPageBreak/>
        <w:t xml:space="preserve">Figure </w:t>
      </w:r>
      <w:fldSimple w:instr=" SEQ Figure \* ARABIC ">
        <w:r w:rsidR="00616D87">
          <w:rPr>
            <w:noProof/>
          </w:rPr>
          <w:t>1</w:t>
        </w:r>
      </w:fldSimple>
      <w:bookmarkEnd w:id="0"/>
      <w:r>
        <w:t xml:space="preserve">: LTE contention-based random access procedure </w:t>
      </w:r>
      <w:r>
        <w:fldChar w:fldCharType="begin"/>
      </w:r>
      <w:r>
        <w:instrText xml:space="preserve"> REF _Ref424903182 \r \h </w:instrText>
      </w:r>
      <w:r>
        <w:fldChar w:fldCharType="separate"/>
      </w:r>
      <w:r w:rsidR="00616D87">
        <w:t>[6]</w:t>
      </w:r>
      <w:r>
        <w:fldChar w:fldCharType="end"/>
      </w:r>
    </w:p>
    <w:p w:rsidR="00D8131D" w:rsidRDefault="009E653E" w:rsidP="00D8131D">
      <w:r>
        <w:t>In NB-</w:t>
      </w:r>
      <w:r w:rsidR="00607C00">
        <w:t>LTE, random access procedure follows its counterpart in LTE. Due to</w:t>
      </w:r>
      <w:r w:rsidR="00E155D0">
        <w:t xml:space="preserve"> the</w:t>
      </w:r>
      <w:r w:rsidR="00607C00">
        <w:t xml:space="preserve"> reduced bandwidth</w:t>
      </w:r>
      <w:r>
        <w:t xml:space="preserve"> in NB-</w:t>
      </w:r>
      <w:r w:rsidR="001623CF">
        <w:t>LTE</w:t>
      </w:r>
      <w:r w:rsidR="00607C00">
        <w:t xml:space="preserve">, </w:t>
      </w:r>
      <w:r w:rsidR="00D13C9E">
        <w:t>minor</w:t>
      </w:r>
      <w:r w:rsidR="00F517B2">
        <w:t xml:space="preserve"> revisions of </w:t>
      </w:r>
      <w:r w:rsidR="00607C00">
        <w:t xml:space="preserve">LTE physical random access channel (PRACH) design </w:t>
      </w:r>
      <w:r>
        <w:t>are required for NB-</w:t>
      </w:r>
      <w:r w:rsidR="00F517B2">
        <w:t>LTE PRACH</w:t>
      </w:r>
      <w:r w:rsidR="00607C00">
        <w:t>. The revision, however, only affects Step 1 (Random Access Preamble</w:t>
      </w:r>
      <w:r w:rsidR="0070720F">
        <w:t>),</w:t>
      </w:r>
      <w:r w:rsidR="00D8131D">
        <w:t xml:space="preserve"> since it is the only step that involves random access specific physical-layer </w:t>
      </w:r>
      <w:r w:rsidR="0070720F">
        <w:t>processing.</w:t>
      </w:r>
    </w:p>
    <w:p w:rsidR="001C643B" w:rsidRDefault="001C643B" w:rsidP="00D8131D">
      <w:pPr>
        <w:pStyle w:val="Heading1"/>
      </w:pPr>
      <w:r>
        <w:t>Physical Random Access Channel</w:t>
      </w:r>
      <w:r w:rsidR="00A37C65">
        <w:t xml:space="preserve"> Design</w:t>
      </w:r>
    </w:p>
    <w:p w:rsidR="0070720F" w:rsidRDefault="00722813" w:rsidP="00722813">
      <w:pPr>
        <w:pStyle w:val="Heading2"/>
      </w:pPr>
      <w:bookmarkStart w:id="1" w:name="_Ref425152190"/>
      <w:r>
        <w:t>Multiplexing of PRACH with PUSCH</w:t>
      </w:r>
      <w:bookmarkEnd w:id="1"/>
    </w:p>
    <w:p w:rsidR="00FF752C" w:rsidRDefault="00FF752C" w:rsidP="00722813">
      <w:pPr>
        <w:pStyle w:val="BodyText"/>
        <w:rPr>
          <w:lang w:eastAsia="ko-KR"/>
        </w:rPr>
      </w:pPr>
      <w:r>
        <w:t>The multipl</w:t>
      </w:r>
      <w:r w:rsidR="00C47743">
        <w:t>exing of PRACH with PUSCH in NB-</w:t>
      </w:r>
      <w:r>
        <w:t xml:space="preserve">LTE is shown in </w:t>
      </w:r>
      <w:r>
        <w:fldChar w:fldCharType="begin"/>
      </w:r>
      <w:r>
        <w:instrText xml:space="preserve"> REF _Ref424914760 \h </w:instrText>
      </w:r>
      <w:r>
        <w:fldChar w:fldCharType="separate"/>
      </w:r>
      <w:r w:rsidR="00616D87">
        <w:t xml:space="preserve">Figure </w:t>
      </w:r>
      <w:r w:rsidR="00616D87">
        <w:rPr>
          <w:noProof/>
        </w:rPr>
        <w:t>2</w:t>
      </w:r>
      <w:r>
        <w:fldChar w:fldCharType="end"/>
      </w:r>
      <w:r>
        <w:t xml:space="preserve">. </w:t>
      </w:r>
      <w:r w:rsidR="005A3014">
        <w:t>It can be seen that</w:t>
      </w:r>
      <w:r w:rsidR="005E1E28">
        <w:t xml:space="preserve"> the multiplexing is similar to</w:t>
      </w:r>
      <w:r>
        <w:t xml:space="preserve"> LTE. PRACH time-frequency resources can be configured by the base</w:t>
      </w:r>
      <w:r w:rsidR="009E5149">
        <w:t xml:space="preserve"> station. The configuration </w:t>
      </w:r>
      <w:r>
        <w:t>depend</w:t>
      </w:r>
      <w:r w:rsidR="009E5149">
        <w:t>s</w:t>
      </w:r>
      <w:r>
        <w:t xml:space="preserve"> on factors such as random access load, cell size, etc. </w:t>
      </w:r>
      <w:r w:rsidR="003D6395">
        <w:t xml:space="preserve">PUSCH can </w:t>
      </w:r>
      <w:r w:rsidR="00EB4616">
        <w:t xml:space="preserve">be frequency multiplexed with PRACH in PRACH slots. </w:t>
      </w:r>
      <w:r w:rsidR="00D20509">
        <w:t>This design is motivated by the fact that users in bad coverage may require long time to finish</w:t>
      </w:r>
      <w:r w:rsidR="000A097D">
        <w:t xml:space="preserve"> their packet</w:t>
      </w:r>
      <w:r w:rsidR="00D20509">
        <w:t xml:space="preserve"> transmission</w:t>
      </w:r>
      <w:r w:rsidR="000A097D">
        <w:t>s</w:t>
      </w:r>
      <w:r w:rsidR="00D20509">
        <w:t>. Reserving some edge subcarriers for PUSCH allows continuous traffic transmissi</w:t>
      </w:r>
      <w:r w:rsidR="0033215F">
        <w:t>on</w:t>
      </w:r>
      <w:r w:rsidR="009A466E">
        <w:t>s</w:t>
      </w:r>
      <w:r w:rsidR="0033215F">
        <w:t xml:space="preserve"> of devices in bad coverage, given that</w:t>
      </w:r>
      <w:r w:rsidR="00D20509">
        <w:t xml:space="preserve"> the devices are scheduled on the edge subcarriers.</w:t>
      </w:r>
      <w:r w:rsidR="0033124A">
        <w:t xml:space="preserve"> </w:t>
      </w:r>
      <w:r w:rsidR="00C47743">
        <w:rPr>
          <w:lang w:eastAsia="ko-KR"/>
        </w:rPr>
        <w:t>In the uplink of NB-</w:t>
      </w:r>
      <w:r w:rsidR="0033124A">
        <w:rPr>
          <w:lang w:eastAsia="ko-KR"/>
        </w:rPr>
        <w:t xml:space="preserve">LTE, eight 2.5 kHz edge subcarriers are always reserved for PUSCH </w:t>
      </w:r>
      <w:r w:rsidR="0033124A">
        <w:rPr>
          <w:lang w:eastAsia="ko-KR"/>
        </w:rPr>
        <w:fldChar w:fldCharType="begin"/>
      </w:r>
      <w:r w:rsidR="0033124A">
        <w:rPr>
          <w:lang w:eastAsia="ko-KR"/>
        </w:rPr>
        <w:instrText xml:space="preserve"> REF _Ref425173537 \r \h </w:instrText>
      </w:r>
      <w:r w:rsidR="0033124A">
        <w:rPr>
          <w:lang w:eastAsia="ko-KR"/>
        </w:rPr>
      </w:r>
      <w:r w:rsidR="0033124A">
        <w:rPr>
          <w:lang w:eastAsia="ko-KR"/>
        </w:rPr>
        <w:fldChar w:fldCharType="separate"/>
      </w:r>
      <w:r w:rsidR="00616D87">
        <w:rPr>
          <w:lang w:eastAsia="ko-KR"/>
        </w:rPr>
        <w:t>[3]</w:t>
      </w:r>
      <w:r w:rsidR="0033124A">
        <w:rPr>
          <w:lang w:eastAsia="ko-KR"/>
        </w:rPr>
        <w:fldChar w:fldCharType="end"/>
      </w:r>
      <w:r w:rsidR="0033124A">
        <w:rPr>
          <w:lang w:eastAsia="ko-KR"/>
        </w:rPr>
        <w:t>. This leaves 160 kHz bandwidth for PRACH.</w:t>
      </w:r>
    </w:p>
    <w:p w:rsidR="006913BD" w:rsidRDefault="006913BD" w:rsidP="00722813">
      <w:pPr>
        <w:pStyle w:val="BodyText"/>
      </w:pPr>
      <w:r>
        <w:rPr>
          <w:lang w:eastAsia="ko-KR"/>
        </w:rPr>
        <w:t xml:space="preserve">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_Ref424914760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616D87">
        <w:t xml:space="preserve">Figure </w:t>
      </w:r>
      <w:r w:rsidR="00616D87">
        <w:rPr>
          <w:noProof/>
        </w:rPr>
        <w:t>2</w:t>
      </w:r>
      <w:r>
        <w:rPr>
          <w:lang w:eastAsia="ko-KR"/>
        </w:rPr>
        <w:fldChar w:fldCharType="end"/>
      </w:r>
      <w:r>
        <w:rPr>
          <w:lang w:eastAsia="ko-KR"/>
        </w:rPr>
        <w:t xml:space="preserve">, PRACH is centered in </w:t>
      </w:r>
      <w:r w:rsidR="00DC3B88">
        <w:rPr>
          <w:lang w:eastAsia="ko-KR"/>
        </w:rPr>
        <w:t xml:space="preserve">the </w:t>
      </w:r>
      <w:r>
        <w:rPr>
          <w:lang w:eastAsia="ko-KR"/>
        </w:rPr>
        <w:t>channel. Another option could be</w:t>
      </w:r>
      <w:r w:rsidR="00DC3B88">
        <w:rPr>
          <w:lang w:eastAsia="ko-KR"/>
        </w:rPr>
        <w:t xml:space="preserve"> putting PRACH on one side and PUSCH on the other side when PRACH and PUSCH are frequency multiplexed. This contribution is focused on the former option.</w:t>
      </w:r>
      <w:r>
        <w:rPr>
          <w:lang w:eastAsia="ko-KR"/>
        </w:rPr>
        <w:t xml:space="preserve"> </w:t>
      </w:r>
    </w:p>
    <w:p w:rsidR="00FF752C" w:rsidRDefault="00FF752C" w:rsidP="00722813">
      <w:pPr>
        <w:pStyle w:val="BodyText"/>
      </w:pPr>
      <w:r>
        <w:rPr>
          <w:noProof/>
        </w:rPr>
        <w:drawing>
          <wp:inline distT="0" distB="0" distL="0" distR="0" wp14:anchorId="084BDEC9" wp14:editId="61AE860E">
            <wp:extent cx="5250180" cy="2544318"/>
            <wp:effectExtent l="0" t="0" r="762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2544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5F48" w:rsidRDefault="00425F48" w:rsidP="00425F48">
      <w:pPr>
        <w:pStyle w:val="Caption"/>
      </w:pPr>
      <w:bookmarkStart w:id="2" w:name="_Ref424914760"/>
      <w:r>
        <w:t xml:space="preserve">Figure </w:t>
      </w:r>
      <w:fldSimple w:instr=" SEQ Figure \* ARABIC ">
        <w:r w:rsidR="00616D87">
          <w:rPr>
            <w:noProof/>
          </w:rPr>
          <w:t>2</w:t>
        </w:r>
      </w:fldSimple>
      <w:bookmarkEnd w:id="2"/>
      <w:r>
        <w:t>: PRACH multiplexing with PUSCH</w:t>
      </w:r>
    </w:p>
    <w:p w:rsidR="00425F48" w:rsidRPr="00722813" w:rsidRDefault="00425F48" w:rsidP="00425F48">
      <w:pPr>
        <w:pStyle w:val="Heading2"/>
      </w:pPr>
      <w:r>
        <w:t>PRACH Formats</w:t>
      </w:r>
    </w:p>
    <w:p w:rsidR="007A1DA5" w:rsidRDefault="00AE0344" w:rsidP="00AE0344">
      <w:pPr>
        <w:pStyle w:val="Heading3"/>
      </w:pPr>
      <w:r>
        <w:t xml:space="preserve">Preamble </w:t>
      </w:r>
      <w:r w:rsidR="0067120D">
        <w:t>Design</w:t>
      </w:r>
    </w:p>
    <w:p w:rsidR="00BD0C7E" w:rsidRDefault="00974E7E" w:rsidP="00AE0344">
      <w:pPr>
        <w:pStyle w:val="BodyText"/>
        <w:rPr>
          <w:lang w:eastAsia="ko-KR"/>
        </w:rPr>
      </w:pPr>
      <w:r>
        <w:rPr>
          <w:lang w:eastAsia="ko-KR"/>
        </w:rPr>
        <w:t>In N</w:t>
      </w:r>
      <w:r w:rsidR="009173E7">
        <w:rPr>
          <w:lang w:eastAsia="ko-KR"/>
        </w:rPr>
        <w:t>B-</w:t>
      </w:r>
      <w:r>
        <w:rPr>
          <w:lang w:eastAsia="ko-KR"/>
        </w:rPr>
        <w:t>LTE, the subcarrier spacing for PUSCH is 2.5 kHz, reduced by 6 times compared to the LTE 15 kHz subcarrier spacing. In LTE, PRACH subcarrier spacing is 1.25 kHz</w:t>
      </w:r>
      <w:r w:rsidR="00BD0C7E">
        <w:rPr>
          <w:lang w:eastAsia="ko-KR"/>
        </w:rPr>
        <w:t xml:space="preserve"> and the </w:t>
      </w:r>
      <w:r w:rsidR="00BD0C7E">
        <w:rPr>
          <w:lang w:eastAsia="ko-KR"/>
        </w:rPr>
        <w:lastRenderedPageBreak/>
        <w:t>preambles are Zadoff-Chu sequences of length</w:t>
      </w:r>
      <w:r>
        <w:rPr>
          <w:lang w:eastAsia="ko-KR"/>
        </w:rPr>
        <w:t xml:space="preserve"> 839</w:t>
      </w:r>
      <w:r w:rsidR="00E86051">
        <w:rPr>
          <w:lang w:eastAsia="ko-KR"/>
        </w:rPr>
        <w:t xml:space="preserve">. So the total used bandwidth is 1.0488 MHz (excluding guard band). </w:t>
      </w:r>
    </w:p>
    <w:p w:rsidR="00AE0344" w:rsidRDefault="00974E7E" w:rsidP="00AE0344">
      <w:pPr>
        <w:pStyle w:val="BodyText"/>
        <w:rPr>
          <w:lang w:eastAsia="ko-KR"/>
        </w:rPr>
      </w:pPr>
      <w:r>
        <w:rPr>
          <w:lang w:eastAsia="ko-KR"/>
        </w:rPr>
        <w:t xml:space="preserve">A </w:t>
      </w:r>
      <w:r w:rsidR="009173E7">
        <w:rPr>
          <w:lang w:eastAsia="ko-KR"/>
        </w:rPr>
        <w:t>seemingly natural choice for NB-</w:t>
      </w:r>
      <w:r>
        <w:rPr>
          <w:lang w:eastAsia="ko-KR"/>
        </w:rPr>
        <w:t>LTE PRACH</w:t>
      </w:r>
      <w:r w:rsidR="00981398">
        <w:rPr>
          <w:lang w:eastAsia="ko-KR"/>
        </w:rPr>
        <w:t xml:space="preserve"> desi</w:t>
      </w:r>
      <w:r w:rsidR="001A6C31">
        <w:rPr>
          <w:lang w:eastAsia="ko-KR"/>
        </w:rPr>
        <w:t>g</w:t>
      </w:r>
      <w:r w:rsidR="00981398">
        <w:rPr>
          <w:lang w:eastAsia="ko-KR"/>
        </w:rPr>
        <w:t>n</w:t>
      </w:r>
      <w:r w:rsidR="00BD0C7E">
        <w:rPr>
          <w:lang w:eastAsia="ko-KR"/>
        </w:rPr>
        <w:t xml:space="preserve"> is</w:t>
      </w:r>
      <w:r>
        <w:rPr>
          <w:lang w:eastAsia="ko-KR"/>
        </w:rPr>
        <w:t xml:space="preserve"> to reduce the 1.25 kHz subcarrier spacing</w:t>
      </w:r>
      <w:r w:rsidR="00BD0C7E">
        <w:rPr>
          <w:lang w:eastAsia="ko-KR"/>
        </w:rPr>
        <w:t xml:space="preserve"> also</w:t>
      </w:r>
      <w:r>
        <w:rPr>
          <w:lang w:eastAsia="ko-KR"/>
        </w:rPr>
        <w:t xml:space="preserve"> by 6 times</w:t>
      </w:r>
      <w:r w:rsidR="005543DE">
        <w:rPr>
          <w:lang w:eastAsia="ko-KR"/>
        </w:rPr>
        <w:t xml:space="preserve"> and to reuse the length-</w:t>
      </w:r>
      <w:r w:rsidR="00BD0C7E">
        <w:rPr>
          <w:lang w:eastAsia="ko-KR"/>
        </w:rPr>
        <w:t>839 Zadoff-Chu sequences. There are however some problems with this design. First, the</w:t>
      </w:r>
      <w:r w:rsidR="004C6682">
        <w:rPr>
          <w:lang w:eastAsia="ko-KR"/>
        </w:rPr>
        <w:t xml:space="preserve"> reduced</w:t>
      </w:r>
      <w:r w:rsidR="00BD0C7E">
        <w:rPr>
          <w:lang w:eastAsia="ko-KR"/>
        </w:rPr>
        <w:t xml:space="preserve"> subcarrier spacing is 208.3 Hz, which is relatively small considering the frequency offset between the device and base station and Doppler shift. </w:t>
      </w:r>
      <w:r w:rsidR="00634F9C">
        <w:rPr>
          <w:lang w:eastAsia="ko-KR"/>
        </w:rPr>
        <w:t>Second, the total used bandwidth for PRACH would be 208.3*839=174.8 kHz, while the total uplink bandwid</w:t>
      </w:r>
      <w:r w:rsidR="009173E7">
        <w:rPr>
          <w:lang w:eastAsia="ko-KR"/>
        </w:rPr>
        <w:t>th is 180 kHz in NB-</w:t>
      </w:r>
      <w:r w:rsidR="00634F9C">
        <w:rPr>
          <w:lang w:eastAsia="ko-KR"/>
        </w:rPr>
        <w:t>LTE</w:t>
      </w:r>
      <w:r w:rsidR="00FB0AF3">
        <w:rPr>
          <w:lang w:eastAsia="ko-KR"/>
        </w:rPr>
        <w:t xml:space="preserve">. </w:t>
      </w:r>
      <w:r w:rsidR="000C5E80">
        <w:rPr>
          <w:lang w:eastAsia="ko-KR"/>
        </w:rPr>
        <w:t>As a result, at most two</w:t>
      </w:r>
      <w:r w:rsidR="00055A48">
        <w:rPr>
          <w:lang w:eastAsia="ko-KR"/>
        </w:rPr>
        <w:t xml:space="preserve"> 2.5 kHz subcarriers can be used for PUSCH</w:t>
      </w:r>
      <w:r w:rsidR="00ED0022">
        <w:rPr>
          <w:lang w:eastAsia="ko-KR"/>
        </w:rPr>
        <w:t>, and there is no guard band between PUSCH and PRACH when they are frequency multiplexed.</w:t>
      </w:r>
      <w:r w:rsidR="00EE397D">
        <w:rPr>
          <w:lang w:eastAsia="ko-KR"/>
        </w:rPr>
        <w:t xml:space="preserve"> This may limit PUSCH capacity for</w:t>
      </w:r>
      <w:r w:rsidR="00D00D29">
        <w:rPr>
          <w:lang w:eastAsia="ko-KR"/>
        </w:rPr>
        <w:t xml:space="preserve"> continuous packet transmissions of</w:t>
      </w:r>
      <w:r w:rsidR="00EE397D">
        <w:rPr>
          <w:lang w:eastAsia="ko-KR"/>
        </w:rPr>
        <w:t xml:space="preserve"> users in bad coverage.</w:t>
      </w:r>
    </w:p>
    <w:p w:rsidR="004A451F" w:rsidRDefault="009173E7" w:rsidP="00AE0344">
      <w:pPr>
        <w:pStyle w:val="BodyText"/>
        <w:rPr>
          <w:lang w:eastAsia="ko-KR"/>
        </w:rPr>
      </w:pPr>
      <w:r>
        <w:rPr>
          <w:lang w:eastAsia="ko-KR"/>
        </w:rPr>
        <w:t>In NB-</w:t>
      </w:r>
      <w:r w:rsidR="00FC15A2">
        <w:rPr>
          <w:lang w:eastAsia="ko-KR"/>
        </w:rPr>
        <w:t>LTE</w:t>
      </w:r>
      <w:r w:rsidR="004A5668">
        <w:rPr>
          <w:lang w:eastAsia="ko-KR"/>
        </w:rPr>
        <w:t xml:space="preserve">, </w:t>
      </w:r>
      <w:r w:rsidR="009B479D">
        <w:rPr>
          <w:lang w:eastAsia="ko-KR"/>
        </w:rPr>
        <w:t xml:space="preserve">160 kHz </w:t>
      </w:r>
      <w:r w:rsidR="004A5668">
        <w:rPr>
          <w:lang w:eastAsia="ko-KR"/>
        </w:rPr>
        <w:t xml:space="preserve">uplink </w:t>
      </w:r>
      <w:r w:rsidR="009B479D">
        <w:rPr>
          <w:lang w:eastAsia="ko-KR"/>
        </w:rPr>
        <w:t>bandwidth</w:t>
      </w:r>
      <w:r w:rsidR="004A5668">
        <w:rPr>
          <w:lang w:eastAsia="ko-KR"/>
        </w:rPr>
        <w:t xml:space="preserve"> can be used</w:t>
      </w:r>
      <w:r w:rsidR="009B479D">
        <w:rPr>
          <w:lang w:eastAsia="ko-KR"/>
        </w:rPr>
        <w:t xml:space="preserve"> for PRACH.</w:t>
      </w:r>
      <w:r w:rsidR="00C13276">
        <w:rPr>
          <w:lang w:eastAsia="ko-KR"/>
        </w:rPr>
        <w:t xml:space="preserve"> </w:t>
      </w:r>
      <w:r w:rsidR="005D4E1C">
        <w:rPr>
          <w:lang w:eastAsia="ko-KR"/>
        </w:rPr>
        <w:t xml:space="preserve">On the one hand, </w:t>
      </w:r>
      <w:r w:rsidR="005F4B3D">
        <w:rPr>
          <w:lang w:eastAsia="ko-KR"/>
        </w:rPr>
        <w:t xml:space="preserve">large subcarrier spacing is desirable to make the preamble transmission robust to carrier frequency offset </w:t>
      </w:r>
      <w:r w:rsidR="00AB4DAE">
        <w:rPr>
          <w:lang w:eastAsia="ko-KR"/>
        </w:rPr>
        <w:t xml:space="preserve">(CFO) </w:t>
      </w:r>
      <w:r w:rsidR="005F4B3D">
        <w:rPr>
          <w:lang w:eastAsia="ko-KR"/>
        </w:rPr>
        <w:t>and Doppler shift. On the other hand, longer Zadoff-Chu sequences based preambles are preferred</w:t>
      </w:r>
      <w:r w:rsidR="004A451F">
        <w:rPr>
          <w:lang w:eastAsia="ko-KR"/>
        </w:rPr>
        <w:t>. This is</w:t>
      </w:r>
      <w:r w:rsidR="005F4B3D">
        <w:rPr>
          <w:lang w:eastAsia="ko-KR"/>
        </w:rPr>
        <w:t xml:space="preserve"> </w:t>
      </w:r>
      <w:r w:rsidR="004A451F">
        <w:rPr>
          <w:lang w:eastAsia="ko-KR"/>
        </w:rPr>
        <w:t xml:space="preserve">because orthogonal preambles are derived by applying cyclic shifts to a base Zadoff-Chu sequence. </w:t>
      </w:r>
      <w:r w:rsidR="000151F4">
        <w:rPr>
          <w:lang w:eastAsia="ko-KR"/>
        </w:rPr>
        <w:t xml:space="preserve">In LTE, different cyclic shifts are applied to cells to in different size ranges </w:t>
      </w:r>
      <w:r w:rsidR="000151F4">
        <w:rPr>
          <w:lang w:eastAsia="ko-KR"/>
        </w:rPr>
        <w:fldChar w:fldCharType="begin"/>
      </w:r>
      <w:r w:rsidR="000151F4">
        <w:rPr>
          <w:lang w:eastAsia="ko-KR"/>
        </w:rPr>
        <w:instrText xml:space="preserve"> REF _Ref426014921 \r \h </w:instrText>
      </w:r>
      <w:r w:rsidR="000151F4">
        <w:rPr>
          <w:lang w:eastAsia="ko-KR"/>
        </w:rPr>
      </w:r>
      <w:r w:rsidR="000151F4">
        <w:rPr>
          <w:lang w:eastAsia="ko-KR"/>
        </w:rPr>
        <w:fldChar w:fldCharType="separate"/>
      </w:r>
      <w:r w:rsidR="00616D87">
        <w:rPr>
          <w:lang w:eastAsia="ko-KR"/>
        </w:rPr>
        <w:t>[5]</w:t>
      </w:r>
      <w:r w:rsidR="000151F4">
        <w:rPr>
          <w:lang w:eastAsia="ko-KR"/>
        </w:rPr>
        <w:fldChar w:fldCharType="end"/>
      </w:r>
      <w:r w:rsidR="000151F4">
        <w:rPr>
          <w:lang w:eastAsia="ko-KR"/>
        </w:rPr>
        <w:t xml:space="preserve">. </w:t>
      </w:r>
      <w:r w:rsidR="004A451F">
        <w:rPr>
          <w:lang w:eastAsia="ko-KR"/>
        </w:rPr>
        <w:t>For a given cell size (i.e., a given cyclic shift), the longer the preambles, the more</w:t>
      </w:r>
      <w:r w:rsidR="002121F8">
        <w:rPr>
          <w:lang w:eastAsia="ko-KR"/>
        </w:rPr>
        <w:t xml:space="preserve"> the orthogonal preambles. With</w:t>
      </w:r>
      <w:r w:rsidR="004A451F">
        <w:rPr>
          <w:lang w:eastAsia="ko-KR"/>
        </w:rPr>
        <w:t xml:space="preserve"> 160 kHz bandwidth for PRACH, a tradeoff exists between PRACH subcarrier spacing and preamble length.</w:t>
      </w:r>
      <w:r w:rsidR="00810EB2">
        <w:rPr>
          <w:lang w:eastAsia="ko-KR"/>
        </w:rPr>
        <w:t xml:space="preserve"> Further</w:t>
      </w:r>
      <w:r w:rsidR="006D13C8">
        <w:rPr>
          <w:lang w:eastAsia="ko-KR"/>
        </w:rPr>
        <w:t>, the choice should enable PRACH</w:t>
      </w:r>
      <w:r w:rsidR="009112FF">
        <w:rPr>
          <w:lang w:eastAsia="ko-KR"/>
        </w:rPr>
        <w:t xml:space="preserve"> to</w:t>
      </w:r>
      <w:r w:rsidR="006D13C8">
        <w:rPr>
          <w:lang w:eastAsia="ko-KR"/>
        </w:rPr>
        <w:t xml:space="preserve"> well fit within th</w:t>
      </w:r>
      <w:r w:rsidR="00EB518A">
        <w:rPr>
          <w:lang w:eastAsia="ko-KR"/>
        </w:rPr>
        <w:t>e overall frame structure in NB-</w:t>
      </w:r>
      <w:r w:rsidR="006D13C8">
        <w:rPr>
          <w:lang w:eastAsia="ko-KR"/>
        </w:rPr>
        <w:t>LTE.</w:t>
      </w:r>
    </w:p>
    <w:p w:rsidR="006D13C8" w:rsidRDefault="005D5B92" w:rsidP="00AE0344">
      <w:pPr>
        <w:pStyle w:val="BodyText"/>
        <w:rPr>
          <w:lang w:eastAsia="ko-KR"/>
        </w:rPr>
      </w:pPr>
      <w:r>
        <w:rPr>
          <w:lang w:eastAsia="ko-KR"/>
        </w:rPr>
        <w:t xml:space="preserve">Taking into account all the constraints, it is proposed to </w:t>
      </w:r>
      <w:r w:rsidR="00B15092">
        <w:rPr>
          <w:lang w:eastAsia="ko-KR"/>
        </w:rPr>
        <w:t>reduce 1.25 kHz LTE PRACH subcarr</w:t>
      </w:r>
      <w:r w:rsidR="00EB518A">
        <w:rPr>
          <w:lang w:eastAsia="ko-KR"/>
        </w:rPr>
        <w:t>ier bandwidth by 4 times for NB-</w:t>
      </w:r>
      <w:r w:rsidR="00B15092">
        <w:rPr>
          <w:lang w:eastAsia="ko-KR"/>
        </w:rPr>
        <w:t>LTE PRACH, i.e., 312.5 Hz subcarrier spacing.</w:t>
      </w:r>
      <w:r w:rsidR="00E22C27">
        <w:rPr>
          <w:lang w:eastAsia="ko-KR"/>
        </w:rPr>
        <w:t xml:space="preserve"> </w:t>
      </w:r>
      <w:r w:rsidR="00F76AB5">
        <w:rPr>
          <w:lang w:eastAsia="ko-KR"/>
        </w:rPr>
        <w:t xml:space="preserve">Note that it is important to leave some guard band between PUSCH and PRACH to mitigate their mutual interference. </w:t>
      </w:r>
      <w:r w:rsidR="00E870A9">
        <w:rPr>
          <w:lang w:eastAsia="ko-KR"/>
        </w:rPr>
        <w:t>After reserving about one data carrier on each side between PUSCH and PRACH, , the actually</w:t>
      </w:r>
      <w:r w:rsidR="009173E7">
        <w:rPr>
          <w:lang w:eastAsia="ko-KR"/>
        </w:rPr>
        <w:t xml:space="preserve"> used bandwidth for NB-</w:t>
      </w:r>
      <w:r w:rsidR="00E870A9">
        <w:rPr>
          <w:lang w:eastAsia="ko-KR"/>
        </w:rPr>
        <w:t xml:space="preserve">LTE PRACH is 155 kHz. </w:t>
      </w:r>
      <w:r w:rsidR="00EC37B1">
        <w:rPr>
          <w:lang w:eastAsia="ko-KR"/>
        </w:rPr>
        <w:t>T</w:t>
      </w:r>
      <w:r w:rsidR="00E22C27">
        <w:rPr>
          <w:lang w:eastAsia="ko-KR"/>
        </w:rPr>
        <w:t>he maximum preamble length</w:t>
      </w:r>
      <w:r w:rsidR="00F56567">
        <w:rPr>
          <w:lang w:eastAsia="ko-KR"/>
        </w:rPr>
        <w:t xml:space="preserve"> is</w:t>
      </w:r>
      <w:r w:rsidR="00277041">
        <w:rPr>
          <w:lang w:eastAsia="ko-KR"/>
        </w:rPr>
        <w:t xml:space="preserve"> thus</w:t>
      </w:r>
      <w:r w:rsidR="00F56567">
        <w:rPr>
          <w:lang w:eastAsia="ko-KR"/>
        </w:rPr>
        <w:t xml:space="preserve"> 155</w:t>
      </w:r>
      <w:r w:rsidR="00E22C27">
        <w:rPr>
          <w:lang w:eastAsia="ko-KR"/>
        </w:rPr>
        <w:t>/0.3125</w:t>
      </w:r>
      <w:r w:rsidR="00F56567">
        <w:rPr>
          <w:lang w:eastAsia="ko-KR"/>
        </w:rPr>
        <w:t>=496</w:t>
      </w:r>
      <w:r w:rsidR="00E22C27">
        <w:rPr>
          <w:lang w:eastAsia="ko-KR"/>
        </w:rPr>
        <w:t xml:space="preserve">. </w:t>
      </w:r>
      <w:r w:rsidR="007F38F5">
        <w:rPr>
          <w:lang w:eastAsia="ko-KR"/>
        </w:rPr>
        <w:t xml:space="preserve">To facilitate preamble sequence selection, prime-length Zadoff-Chu sequences are preferred. </w:t>
      </w:r>
      <w:r w:rsidR="00E15971">
        <w:rPr>
          <w:lang w:eastAsia="ko-KR"/>
        </w:rPr>
        <w:t>Since t</w:t>
      </w:r>
      <w:r w:rsidR="00F56567">
        <w:rPr>
          <w:lang w:eastAsia="ko-KR"/>
        </w:rPr>
        <w:t>he largest prime number</w:t>
      </w:r>
      <w:r w:rsidR="00E15971">
        <w:rPr>
          <w:lang w:eastAsia="ko-KR"/>
        </w:rPr>
        <w:t xml:space="preserve"> less than 496 is 491</w:t>
      </w:r>
      <w:r w:rsidR="00F56567">
        <w:rPr>
          <w:lang w:eastAsia="ko-KR"/>
        </w:rPr>
        <w:t>, it is proposed to use length-491</w:t>
      </w:r>
      <w:r w:rsidR="003A1847">
        <w:rPr>
          <w:lang w:eastAsia="ko-KR"/>
        </w:rPr>
        <w:t xml:space="preserve"> </w:t>
      </w:r>
      <w:r w:rsidR="00F56567">
        <w:rPr>
          <w:lang w:eastAsia="ko-KR"/>
        </w:rPr>
        <w:t>Zadoff-Chu sequences as preambles.</w:t>
      </w:r>
    </w:p>
    <w:p w:rsidR="007E02AE" w:rsidRPr="00FB52CE" w:rsidRDefault="00D16A1C" w:rsidP="00AE0344">
      <w:pPr>
        <w:pStyle w:val="BodyText"/>
        <w:rPr>
          <w:i/>
          <w:lang w:eastAsia="ko-KR"/>
        </w:rPr>
      </w:pPr>
      <w:r>
        <w:rPr>
          <w:lang w:eastAsia="ko-KR"/>
        </w:rPr>
        <w:t>In summary</w:t>
      </w:r>
      <w:r w:rsidR="00836F4C">
        <w:rPr>
          <w:lang w:eastAsia="ko-KR"/>
        </w:rPr>
        <w:t>,</w:t>
      </w:r>
      <w:r w:rsidR="009173E7">
        <w:rPr>
          <w:lang w:eastAsia="ko-KR"/>
        </w:rPr>
        <w:t xml:space="preserve"> for PRACH in NB-</w:t>
      </w:r>
      <w:r>
        <w:rPr>
          <w:lang w:eastAsia="ko-KR"/>
        </w:rPr>
        <w:t>LTE,</w:t>
      </w:r>
      <w:r w:rsidR="00836F4C">
        <w:rPr>
          <w:lang w:eastAsia="ko-KR"/>
        </w:rPr>
        <w:t xml:space="preserve"> it is proposed to use length-491 Zadoff-Chu sequences mapped to </w:t>
      </w:r>
      <w:r w:rsidR="00D37A9B">
        <w:rPr>
          <w:lang w:eastAsia="ko-KR"/>
        </w:rPr>
        <w:t>312.5 Hz</w:t>
      </w:r>
      <w:r w:rsidR="00E02E58">
        <w:rPr>
          <w:lang w:eastAsia="ko-KR"/>
        </w:rPr>
        <w:t xml:space="preserve"> spaced</w:t>
      </w:r>
      <w:r w:rsidR="00D37A9B">
        <w:rPr>
          <w:lang w:eastAsia="ko-KR"/>
        </w:rPr>
        <w:t xml:space="preserve"> subcarriers</w:t>
      </w:r>
      <w:r w:rsidR="00836F4C">
        <w:rPr>
          <w:lang w:eastAsia="ko-KR"/>
        </w:rPr>
        <w:t>.</w:t>
      </w:r>
      <w:r w:rsidR="00655EB7">
        <w:rPr>
          <w:lang w:eastAsia="ko-KR"/>
        </w:rPr>
        <w:t xml:space="preserve"> The proposed design is shown in</w:t>
      </w:r>
      <w:r w:rsidR="00836F4C">
        <w:rPr>
          <w:lang w:eastAsia="ko-KR"/>
        </w:rPr>
        <w:t xml:space="preserve"> </w:t>
      </w:r>
      <w:r w:rsidR="00655EB7">
        <w:rPr>
          <w:lang w:eastAsia="ko-KR"/>
        </w:rPr>
        <w:fldChar w:fldCharType="begin"/>
      </w:r>
      <w:r w:rsidR="00655EB7">
        <w:rPr>
          <w:lang w:eastAsia="ko-KR"/>
        </w:rPr>
        <w:instrText xml:space="preserve"> REF _Ref424919550 \h </w:instrText>
      </w:r>
      <w:r w:rsidR="00655EB7">
        <w:rPr>
          <w:lang w:eastAsia="ko-KR"/>
        </w:rPr>
      </w:r>
      <w:r w:rsidR="00655EB7">
        <w:rPr>
          <w:lang w:eastAsia="ko-KR"/>
        </w:rPr>
        <w:fldChar w:fldCharType="separate"/>
      </w:r>
      <w:r w:rsidR="00616D87">
        <w:t xml:space="preserve">Figure </w:t>
      </w:r>
      <w:r w:rsidR="00616D87">
        <w:rPr>
          <w:noProof/>
        </w:rPr>
        <w:t>3</w:t>
      </w:r>
      <w:r w:rsidR="00655EB7">
        <w:rPr>
          <w:lang w:eastAsia="ko-KR"/>
        </w:rPr>
        <w:fldChar w:fldCharType="end"/>
      </w:r>
      <w:r w:rsidR="00655EB7">
        <w:rPr>
          <w:lang w:eastAsia="ko-KR"/>
        </w:rPr>
        <w:t>.</w:t>
      </w:r>
      <w:r w:rsidR="00C77913">
        <w:rPr>
          <w:lang w:eastAsia="ko-KR"/>
        </w:rPr>
        <w:t xml:space="preserve"> Further, as a working assumption, it is proposed to assume 64 preambles</w:t>
      </w:r>
      <w:r w:rsidR="002279D1">
        <w:rPr>
          <w:lang w:eastAsia="ko-KR"/>
        </w:rPr>
        <w:t xml:space="preserve"> as in LTE</w:t>
      </w:r>
      <w:r w:rsidR="00C77913">
        <w:rPr>
          <w:lang w:eastAsia="ko-KR"/>
        </w:rPr>
        <w:t xml:space="preserve"> are available</w:t>
      </w:r>
      <w:r w:rsidR="009173E7">
        <w:rPr>
          <w:lang w:eastAsia="ko-KR"/>
        </w:rPr>
        <w:t xml:space="preserve"> for NB-</w:t>
      </w:r>
      <w:r w:rsidR="007C08CE">
        <w:rPr>
          <w:lang w:eastAsia="ko-KR"/>
        </w:rPr>
        <w:t>LTE</w:t>
      </w:r>
      <w:r w:rsidR="00C77913">
        <w:rPr>
          <w:lang w:eastAsia="ko-KR"/>
        </w:rPr>
        <w:t>.</w:t>
      </w:r>
      <w:r w:rsidR="006527E3">
        <w:rPr>
          <w:lang w:eastAsia="ko-KR"/>
        </w:rPr>
        <w:t xml:space="preserve"> Among the 64 </w:t>
      </w:r>
      <w:r w:rsidR="007145ED">
        <w:rPr>
          <w:lang w:eastAsia="ko-KR"/>
        </w:rPr>
        <w:t>preambles, each cell may configure</w:t>
      </w:r>
      <w:r w:rsidR="006527E3">
        <w:rPr>
          <w:lang w:eastAsia="ko-KR"/>
        </w:rPr>
        <w:t xml:space="preserve"> a subset of them for contention-free random access.</w:t>
      </w:r>
      <w:r w:rsidR="00C77913">
        <w:rPr>
          <w:lang w:eastAsia="ko-KR"/>
        </w:rPr>
        <w:t xml:space="preserve"> </w:t>
      </w:r>
    </w:p>
    <w:p w:rsidR="008E216E" w:rsidRDefault="00974E7E" w:rsidP="00974E7E">
      <w:pPr>
        <w:pStyle w:val="BodyText"/>
        <w:jc w:val="center"/>
        <w:rPr>
          <w:lang w:eastAsia="ko-KR"/>
        </w:rPr>
      </w:pPr>
      <w:r>
        <w:rPr>
          <w:noProof/>
        </w:rPr>
        <w:lastRenderedPageBreak/>
        <w:drawing>
          <wp:inline distT="0" distB="0" distL="0" distR="0" wp14:anchorId="775E2D70" wp14:editId="730219CB">
            <wp:extent cx="5250180" cy="2547123"/>
            <wp:effectExtent l="0" t="0" r="762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2547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216E" w:rsidRDefault="008E216E" w:rsidP="008E216E">
      <w:pPr>
        <w:pStyle w:val="Caption"/>
        <w:rPr>
          <w:lang w:eastAsia="ko-KR"/>
        </w:rPr>
      </w:pPr>
      <w:bookmarkStart w:id="3" w:name="_Ref424919550"/>
      <w:r>
        <w:t xml:space="preserve">Figure </w:t>
      </w:r>
      <w:fldSimple w:instr=" SEQ Figure \* ARABIC ">
        <w:r w:rsidR="00616D87">
          <w:rPr>
            <w:noProof/>
          </w:rPr>
          <w:t>3</w:t>
        </w:r>
      </w:fldSimple>
      <w:bookmarkEnd w:id="3"/>
      <w:r>
        <w:t xml:space="preserve">: </w:t>
      </w:r>
      <w:r w:rsidR="00836F4C">
        <w:t>PRACH preamble length and subcarrier spacing</w:t>
      </w:r>
    </w:p>
    <w:p w:rsidR="00AE0344" w:rsidRDefault="00F72DD3" w:rsidP="00AE0344">
      <w:pPr>
        <w:pStyle w:val="Heading3"/>
      </w:pPr>
      <w:r>
        <w:t>PRACH Dimensioning</w:t>
      </w:r>
    </w:p>
    <w:p w:rsidR="0086358B" w:rsidRDefault="00BA3FC9" w:rsidP="0086358B">
      <w:pPr>
        <w:pStyle w:val="BodyText"/>
        <w:rPr>
          <w:lang w:eastAsia="ko-KR"/>
        </w:rPr>
      </w:pPr>
      <w:r>
        <w:rPr>
          <w:lang w:eastAsia="ko-KR"/>
        </w:rPr>
        <w:t xml:space="preserve">As mentioned </w:t>
      </w:r>
      <w:r w:rsidR="00FC3460">
        <w:rPr>
          <w:lang w:eastAsia="ko-KR"/>
        </w:rPr>
        <w:t xml:space="preserve">in Section </w:t>
      </w:r>
      <w:r w:rsidR="00FC3460">
        <w:rPr>
          <w:lang w:eastAsia="ko-KR"/>
        </w:rPr>
        <w:fldChar w:fldCharType="begin"/>
      </w:r>
      <w:r w:rsidR="00FC3460">
        <w:rPr>
          <w:lang w:eastAsia="ko-KR"/>
        </w:rPr>
        <w:instrText xml:space="preserve"> REF _Ref425152190 \r \h </w:instrText>
      </w:r>
      <w:r w:rsidR="00FC3460">
        <w:rPr>
          <w:lang w:eastAsia="ko-KR"/>
        </w:rPr>
      </w:r>
      <w:r w:rsidR="00FC3460">
        <w:rPr>
          <w:lang w:eastAsia="ko-KR"/>
        </w:rPr>
        <w:fldChar w:fldCharType="separate"/>
      </w:r>
      <w:r w:rsidR="00616D87">
        <w:rPr>
          <w:lang w:eastAsia="ko-KR"/>
        </w:rPr>
        <w:t>3.1</w:t>
      </w:r>
      <w:r w:rsidR="00FC3460">
        <w:rPr>
          <w:lang w:eastAsia="ko-KR"/>
        </w:rPr>
        <w:fldChar w:fldCharType="end"/>
      </w:r>
      <w:r>
        <w:rPr>
          <w:lang w:eastAsia="ko-KR"/>
        </w:rPr>
        <w:t>, the PRACH slot duration and period can be configured depending on the load and cell size. In this subsection, we provide one such configuration.</w:t>
      </w:r>
    </w:p>
    <w:p w:rsidR="00592FE6" w:rsidRDefault="00C85CFF" w:rsidP="0086358B">
      <w:pPr>
        <w:pStyle w:val="BodyText"/>
        <w:rPr>
          <w:lang w:eastAsia="ko-KR"/>
        </w:rPr>
      </w:pPr>
      <w:r>
        <w:rPr>
          <w:lang w:eastAsia="ko-KR"/>
        </w:rPr>
        <w:t>With 312.5 Hz subcarrier spacing, the preamble seq</w:t>
      </w:r>
      <w:r w:rsidR="009173E7">
        <w:rPr>
          <w:lang w:eastAsia="ko-KR"/>
        </w:rPr>
        <w:t>uence duration is 3.2 ms. In NB-</w:t>
      </w:r>
      <w:r>
        <w:rPr>
          <w:lang w:eastAsia="ko-KR"/>
        </w:rPr>
        <w:t>LTE, the basic scheduling unit is M-subframe of 6 ms. In this example configuration, two M-subframes constitute one PRACH slot</w:t>
      </w:r>
      <w:r w:rsidR="007A48A0">
        <w:rPr>
          <w:lang w:eastAsia="ko-KR"/>
        </w:rPr>
        <w:t xml:space="preserve"> of 12 ms</w:t>
      </w:r>
      <w:r w:rsidR="00074B2B">
        <w:rPr>
          <w:lang w:eastAsia="ko-KR"/>
        </w:rPr>
        <w:t>. Each 12 ms PRACH slot is further divided into three 4 ms PRACH segments</w:t>
      </w:r>
      <w:r w:rsidR="00FB34DF">
        <w:rPr>
          <w:lang w:eastAsia="ko-KR"/>
        </w:rPr>
        <w:t>. Since the preamble sequence duration is 3.2 ms, there are 0.8 ms resources remaining for cyclic prefix (CP)</w:t>
      </w:r>
      <w:r w:rsidR="00916E40">
        <w:rPr>
          <w:lang w:eastAsia="ko-KR"/>
        </w:rPr>
        <w:t xml:space="preserve"> and guard time</w:t>
      </w:r>
      <w:r w:rsidR="00FB34DF">
        <w:rPr>
          <w:lang w:eastAsia="ko-KR"/>
        </w:rPr>
        <w:t xml:space="preserve"> (</w:t>
      </w:r>
      <w:r w:rsidR="00916E40">
        <w:rPr>
          <w:lang w:eastAsia="ko-KR"/>
        </w:rPr>
        <w:t>GT</w:t>
      </w:r>
      <w:r w:rsidR="00FB34DF">
        <w:rPr>
          <w:lang w:eastAsia="ko-KR"/>
        </w:rPr>
        <w:t>). To maximize coverage, the CP is dimensioned to be 0.4 ms (ignoring the delay spread, which is on the order of a few us and has marginal impact)</w:t>
      </w:r>
      <w:r w:rsidR="00BA70C1">
        <w:rPr>
          <w:lang w:eastAsia="ko-KR"/>
        </w:rPr>
        <w:t>.</w:t>
      </w:r>
      <w:r w:rsidR="007456C1">
        <w:rPr>
          <w:lang w:eastAsia="ko-KR"/>
        </w:rPr>
        <w:t xml:space="preserve"> </w:t>
      </w:r>
      <w:r w:rsidR="007456C1">
        <w:rPr>
          <w:lang w:eastAsia="ko-KR"/>
        </w:rPr>
        <w:fldChar w:fldCharType="begin"/>
      </w:r>
      <w:r w:rsidR="007456C1">
        <w:rPr>
          <w:lang w:eastAsia="ko-KR"/>
        </w:rPr>
        <w:instrText xml:space="preserve"> REF _Ref425154421 \h </w:instrText>
      </w:r>
      <w:r w:rsidR="007456C1">
        <w:rPr>
          <w:lang w:eastAsia="ko-KR"/>
        </w:rPr>
      </w:r>
      <w:r w:rsidR="007456C1">
        <w:rPr>
          <w:lang w:eastAsia="ko-KR"/>
        </w:rPr>
        <w:fldChar w:fldCharType="separate"/>
      </w:r>
      <w:r w:rsidR="00616D87">
        <w:t xml:space="preserve">Figure </w:t>
      </w:r>
      <w:r w:rsidR="00616D87">
        <w:rPr>
          <w:noProof/>
        </w:rPr>
        <w:t>4</w:t>
      </w:r>
      <w:r w:rsidR="007456C1">
        <w:rPr>
          <w:lang w:eastAsia="ko-KR"/>
        </w:rPr>
        <w:fldChar w:fldCharType="end"/>
      </w:r>
      <w:r w:rsidR="007456C1">
        <w:rPr>
          <w:lang w:eastAsia="ko-KR"/>
        </w:rPr>
        <w:t xml:space="preserve"> illustrates the proposed </w:t>
      </w:r>
      <w:r w:rsidR="007456C1">
        <w:t xml:space="preserve">PRACH </w:t>
      </w:r>
      <w:r w:rsidR="009E1228">
        <w:t>C</w:t>
      </w:r>
      <w:r w:rsidR="00916E40">
        <w:t>P/GT</w:t>
      </w:r>
      <w:r w:rsidR="009E1228">
        <w:t xml:space="preserve"> </w:t>
      </w:r>
      <w:r w:rsidR="007456C1">
        <w:t>dimensioning.</w:t>
      </w:r>
      <w:r w:rsidR="009A3236">
        <w:t xml:space="preserve"> More PRACH configurations (with different durations, CPs, or GTs) may be defined if necessary. </w:t>
      </w:r>
    </w:p>
    <w:p w:rsidR="00592FE6" w:rsidRDefault="007456C1" w:rsidP="0086358B">
      <w:pPr>
        <w:pStyle w:val="BodyText"/>
        <w:rPr>
          <w:lang w:eastAsia="ko-KR"/>
        </w:rPr>
      </w:pPr>
      <w:r>
        <w:rPr>
          <w:noProof/>
        </w:rPr>
        <w:drawing>
          <wp:inline distT="0" distB="0" distL="0" distR="0" wp14:anchorId="32A4878B" wp14:editId="6CF0B0A4">
            <wp:extent cx="5250180" cy="2122509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2122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DD3" w:rsidRDefault="00592FE6" w:rsidP="002E37BC">
      <w:pPr>
        <w:pStyle w:val="Caption"/>
      </w:pPr>
      <w:bookmarkStart w:id="4" w:name="_Ref425154421"/>
      <w:r>
        <w:t xml:space="preserve">Figure </w:t>
      </w:r>
      <w:fldSimple w:instr=" SEQ Figure \* ARABIC ">
        <w:r w:rsidR="00616D87">
          <w:rPr>
            <w:noProof/>
          </w:rPr>
          <w:t>4</w:t>
        </w:r>
      </w:fldSimple>
      <w:bookmarkEnd w:id="4"/>
      <w:r>
        <w:t>: PRACH cyclic prefix/guard period dimensioning</w:t>
      </w:r>
    </w:p>
    <w:p w:rsidR="00545169" w:rsidRDefault="00F7613C" w:rsidP="00545169">
      <w:r>
        <w:t xml:space="preserve">A CP of 0.4 ms duration </w:t>
      </w:r>
      <w:r w:rsidR="00545169">
        <w:t xml:space="preserve">can address cell sizes up to 60 km, exceeding the 35 km maximum cell size target in GERAN study </w:t>
      </w:r>
      <w:r w:rsidR="00545169">
        <w:fldChar w:fldCharType="begin"/>
      </w:r>
      <w:r w:rsidR="00545169">
        <w:instrText xml:space="preserve"> REF _Ref403069021 \r \h </w:instrText>
      </w:r>
      <w:r w:rsidR="00545169">
        <w:fldChar w:fldCharType="separate"/>
      </w:r>
      <w:r w:rsidR="00616D87">
        <w:t>[1]</w:t>
      </w:r>
      <w:r w:rsidR="00545169">
        <w:fldChar w:fldCharType="end"/>
      </w:r>
      <w:r w:rsidR="00545169">
        <w:t xml:space="preserve">. Also, with 512 point IFFT for PRACH preamble generation, the CP size amounts to 64 samples, making adding CP straightforward </w:t>
      </w:r>
      <w:r w:rsidR="00B47966">
        <w:t xml:space="preserve">in </w:t>
      </w:r>
      <w:r w:rsidR="00B47966">
        <w:lastRenderedPageBreak/>
        <w:t>baseband</w:t>
      </w:r>
      <w:r w:rsidR="00D4579C">
        <w:t xml:space="preserve"> processing</w:t>
      </w:r>
      <w:r w:rsidR="00545169">
        <w:t>.</w:t>
      </w:r>
      <w:r w:rsidR="002D15B5">
        <w:t xml:space="preserve"> Though preambles are defined in frequency domain, devices can directly generate the preambles in time domain and thus can bypass the 512 point IFFT operation.</w:t>
      </w:r>
    </w:p>
    <w:p w:rsidR="001F0B84" w:rsidRDefault="005D5DD6" w:rsidP="00545169">
      <w:r>
        <w:t xml:space="preserve">Based on the </w:t>
      </w:r>
      <w:r w:rsidR="002135F4">
        <w:t>above CP/GT</w:t>
      </w:r>
      <w:r>
        <w:t xml:space="preserve"> dimensioning, three PRA</w:t>
      </w:r>
      <w:r w:rsidR="00A03C72">
        <w:t xml:space="preserve">CH formats are defined </w:t>
      </w:r>
      <w:r w:rsidR="000B0697">
        <w:t xml:space="preserve">in </w:t>
      </w:r>
      <w:r w:rsidR="000B0697">
        <w:fldChar w:fldCharType="begin"/>
      </w:r>
      <w:r w:rsidR="000B0697">
        <w:instrText xml:space="preserve"> REF _Ref425155854 \h </w:instrText>
      </w:r>
      <w:r w:rsidR="000B0697">
        <w:fldChar w:fldCharType="separate"/>
      </w:r>
      <w:r w:rsidR="00616D87">
        <w:t xml:space="preserve">Table </w:t>
      </w:r>
      <w:r w:rsidR="00616D87">
        <w:rPr>
          <w:noProof/>
        </w:rPr>
        <w:t>1</w:t>
      </w:r>
      <w:r w:rsidR="000B0697">
        <w:fldChar w:fldCharType="end"/>
      </w:r>
      <w:r>
        <w:t>.</w:t>
      </w:r>
      <w:r w:rsidR="00820E05">
        <w:t xml:space="preserve"> Format</w:t>
      </w:r>
      <w:r w:rsidR="003233E9">
        <w:t>s</w:t>
      </w:r>
      <w:r w:rsidR="00820E05">
        <w:t xml:space="preserve"> 0, 1, and 2 are respectively used by users in basic, rob</w:t>
      </w:r>
      <w:r w:rsidR="009173E7">
        <w:t>ust, and extreme coverage in NB-</w:t>
      </w:r>
      <w:r w:rsidR="00820E05">
        <w:t xml:space="preserve">LTE. </w:t>
      </w:r>
    </w:p>
    <w:p w:rsidR="001F0B84" w:rsidRDefault="00820E05" w:rsidP="001F0B84">
      <w:pPr>
        <w:pStyle w:val="ListParagraph"/>
        <w:numPr>
          <w:ilvl w:val="0"/>
          <w:numId w:val="16"/>
        </w:numPr>
      </w:pPr>
      <w:r>
        <w:t xml:space="preserve">For users in basic coverage, one PRACH segment is sufficient to send their preambles. As there are three segments per 12 ms PRACH slot, </w:t>
      </w:r>
      <w:r w:rsidR="00110418">
        <w:t>users in basic coverage can randomly choose one of the three segments.</w:t>
      </w:r>
      <w:r w:rsidR="00BB7092">
        <w:t xml:space="preserve"> </w:t>
      </w:r>
    </w:p>
    <w:p w:rsidR="001F0B84" w:rsidRDefault="00BB7092" w:rsidP="001F0B84">
      <w:pPr>
        <w:pStyle w:val="ListParagraph"/>
        <w:numPr>
          <w:ilvl w:val="0"/>
          <w:numId w:val="16"/>
        </w:numPr>
      </w:pPr>
      <w:r>
        <w:t xml:space="preserve">For </w:t>
      </w:r>
      <w:r w:rsidR="001F0B84">
        <w:t xml:space="preserve">users in robust coverage, each preamble transmission is repeated six times and thus occupies two 12 ms PRACH slots. </w:t>
      </w:r>
    </w:p>
    <w:p w:rsidR="005D5DD6" w:rsidRDefault="001F0B84" w:rsidP="00542DA5">
      <w:pPr>
        <w:pStyle w:val="ListParagraph"/>
        <w:numPr>
          <w:ilvl w:val="0"/>
          <w:numId w:val="16"/>
        </w:numPr>
      </w:pPr>
      <w:r>
        <w:t xml:space="preserve">For users in extreme coverage, each preamble transmission is </w:t>
      </w:r>
      <w:r w:rsidR="00DC2753">
        <w:t>repeated 24</w:t>
      </w:r>
      <w:r>
        <w:t xml:space="preserve"> times and thus </w:t>
      </w:r>
      <w:r w:rsidR="004D4C23">
        <w:t>requires</w:t>
      </w:r>
      <w:r w:rsidR="00DC2753" w:rsidRPr="00001D02">
        <w:t xml:space="preserve"> </w:t>
      </w:r>
      <w:r w:rsidR="008F4F53">
        <w:t>six</w:t>
      </w:r>
      <w:r w:rsidRPr="00001D02">
        <w:t xml:space="preserve"> </w:t>
      </w:r>
      <w:r>
        <w:t xml:space="preserve">12 ms PRACH slots. </w:t>
      </w:r>
    </w:p>
    <w:p w:rsidR="005D5DD6" w:rsidRDefault="005D5DD6" w:rsidP="005D5DD6">
      <w:pPr>
        <w:pStyle w:val="Caption"/>
      </w:pPr>
      <w:bookmarkStart w:id="5" w:name="_Ref425155854"/>
      <w:r>
        <w:t xml:space="preserve">Table </w:t>
      </w:r>
      <w:fldSimple w:instr=" SEQ Table \* ARABIC ">
        <w:r w:rsidR="00616D87">
          <w:rPr>
            <w:noProof/>
          </w:rPr>
          <w:t>1</w:t>
        </w:r>
      </w:fldSimple>
      <w:bookmarkEnd w:id="5"/>
      <w:r>
        <w:rPr>
          <w:noProof/>
        </w:rPr>
        <w:t>: PRACH formats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1254"/>
        <w:gridCol w:w="1261"/>
        <w:gridCol w:w="1256"/>
        <w:gridCol w:w="1553"/>
      </w:tblGrid>
      <w:tr w:rsidR="00214DC6" w:rsidTr="00214DC6">
        <w:tc>
          <w:tcPr>
            <w:tcW w:w="1918" w:type="dxa"/>
            <w:shd w:val="clear" w:color="auto" w:fill="DBE5F1"/>
          </w:tcPr>
          <w:p w:rsidR="00214DC6" w:rsidRDefault="00214DC6" w:rsidP="00666A2F">
            <w:pPr>
              <w:jc w:val="center"/>
            </w:pPr>
            <w:r>
              <w:t>Format</w:t>
            </w:r>
          </w:p>
        </w:tc>
        <w:tc>
          <w:tcPr>
            <w:tcW w:w="1254" w:type="dxa"/>
            <w:shd w:val="clear" w:color="auto" w:fill="DBE5F1"/>
          </w:tcPr>
          <w:p w:rsidR="00214DC6" w:rsidRDefault="00214DC6" w:rsidP="00666A2F">
            <w:pPr>
              <w:jc w:val="center"/>
            </w:pPr>
            <w:r>
              <w:t>Tcp (ms)</w:t>
            </w:r>
          </w:p>
        </w:tc>
        <w:tc>
          <w:tcPr>
            <w:tcW w:w="1261" w:type="dxa"/>
            <w:shd w:val="clear" w:color="auto" w:fill="DBE5F1"/>
          </w:tcPr>
          <w:p w:rsidR="00214DC6" w:rsidRDefault="00214DC6" w:rsidP="00666A2F">
            <w:pPr>
              <w:jc w:val="center"/>
            </w:pPr>
            <w:r>
              <w:t>Tseq (ms)</w:t>
            </w:r>
          </w:p>
        </w:tc>
        <w:tc>
          <w:tcPr>
            <w:tcW w:w="1256" w:type="dxa"/>
            <w:shd w:val="clear" w:color="auto" w:fill="DBE5F1"/>
          </w:tcPr>
          <w:p w:rsidR="00214DC6" w:rsidRDefault="00214DC6" w:rsidP="00666A2F">
            <w:pPr>
              <w:jc w:val="center"/>
            </w:pPr>
            <w:r>
              <w:t>Number of repetitions</w:t>
            </w:r>
          </w:p>
        </w:tc>
        <w:tc>
          <w:tcPr>
            <w:tcW w:w="1553" w:type="dxa"/>
            <w:shd w:val="clear" w:color="auto" w:fill="DBE5F1"/>
          </w:tcPr>
          <w:p w:rsidR="00214DC6" w:rsidRDefault="00214DC6" w:rsidP="00666A2F">
            <w:pPr>
              <w:jc w:val="center"/>
            </w:pPr>
            <w:r>
              <w:t>Number of preambles</w:t>
            </w:r>
          </w:p>
        </w:tc>
      </w:tr>
      <w:tr w:rsidR="00214DC6" w:rsidTr="00214DC6">
        <w:tc>
          <w:tcPr>
            <w:tcW w:w="1918" w:type="dxa"/>
            <w:shd w:val="clear" w:color="auto" w:fill="auto"/>
          </w:tcPr>
          <w:p w:rsidR="00214DC6" w:rsidRDefault="00214DC6" w:rsidP="00666A2F">
            <w:pPr>
              <w:jc w:val="center"/>
            </w:pPr>
            <w:r>
              <w:t>0</w:t>
            </w:r>
          </w:p>
        </w:tc>
        <w:tc>
          <w:tcPr>
            <w:tcW w:w="1254" w:type="dxa"/>
          </w:tcPr>
          <w:p w:rsidR="00214DC6" w:rsidRDefault="00214DC6" w:rsidP="00666A2F">
            <w:pPr>
              <w:jc w:val="center"/>
            </w:pPr>
            <w:r>
              <w:t>0.4</w:t>
            </w:r>
          </w:p>
        </w:tc>
        <w:tc>
          <w:tcPr>
            <w:tcW w:w="1261" w:type="dxa"/>
          </w:tcPr>
          <w:p w:rsidR="00214DC6" w:rsidRDefault="00214DC6" w:rsidP="00666A2F">
            <w:pPr>
              <w:jc w:val="center"/>
            </w:pPr>
            <w:r>
              <w:t>3.2</w:t>
            </w:r>
          </w:p>
        </w:tc>
        <w:tc>
          <w:tcPr>
            <w:tcW w:w="1256" w:type="dxa"/>
          </w:tcPr>
          <w:p w:rsidR="00214DC6" w:rsidRPr="006620F6" w:rsidRDefault="00214DC6" w:rsidP="00666A2F">
            <w:pPr>
              <w:jc w:val="center"/>
            </w:pPr>
            <w:r>
              <w:t>1</w:t>
            </w:r>
          </w:p>
        </w:tc>
        <w:tc>
          <w:tcPr>
            <w:tcW w:w="1553" w:type="dxa"/>
            <w:shd w:val="clear" w:color="auto" w:fill="auto"/>
          </w:tcPr>
          <w:p w:rsidR="00214DC6" w:rsidRDefault="00214DC6" w:rsidP="00666A2F">
            <w:pPr>
              <w:jc w:val="center"/>
            </w:pPr>
            <w:r w:rsidRPr="006620F6">
              <w:t>N</w:t>
            </w:r>
            <w:r w:rsidRPr="006620F6">
              <w:rPr>
                <w:sz w:val="16"/>
              </w:rPr>
              <w:t>0</w:t>
            </w:r>
          </w:p>
        </w:tc>
      </w:tr>
      <w:tr w:rsidR="00214DC6" w:rsidTr="00214DC6">
        <w:tc>
          <w:tcPr>
            <w:tcW w:w="1918" w:type="dxa"/>
            <w:shd w:val="clear" w:color="auto" w:fill="auto"/>
          </w:tcPr>
          <w:p w:rsidR="00214DC6" w:rsidRDefault="00214DC6" w:rsidP="00666A2F">
            <w:pPr>
              <w:jc w:val="center"/>
            </w:pPr>
            <w:r>
              <w:t>1</w:t>
            </w:r>
          </w:p>
        </w:tc>
        <w:tc>
          <w:tcPr>
            <w:tcW w:w="1254" w:type="dxa"/>
          </w:tcPr>
          <w:p w:rsidR="00214DC6" w:rsidRDefault="00214DC6" w:rsidP="00666A2F">
            <w:pPr>
              <w:jc w:val="center"/>
            </w:pPr>
            <w:r>
              <w:t>0.4</w:t>
            </w:r>
          </w:p>
        </w:tc>
        <w:tc>
          <w:tcPr>
            <w:tcW w:w="1261" w:type="dxa"/>
          </w:tcPr>
          <w:p w:rsidR="00214DC6" w:rsidRDefault="00214DC6" w:rsidP="00666A2F">
            <w:pPr>
              <w:jc w:val="center"/>
            </w:pPr>
            <w:r>
              <w:t>3.2</w:t>
            </w:r>
          </w:p>
        </w:tc>
        <w:tc>
          <w:tcPr>
            <w:tcW w:w="1256" w:type="dxa"/>
          </w:tcPr>
          <w:p w:rsidR="00214DC6" w:rsidRPr="006620F6" w:rsidRDefault="00214DC6" w:rsidP="00666A2F">
            <w:pPr>
              <w:jc w:val="center"/>
            </w:pPr>
            <w:r>
              <w:t>6</w:t>
            </w:r>
          </w:p>
        </w:tc>
        <w:tc>
          <w:tcPr>
            <w:tcW w:w="1553" w:type="dxa"/>
            <w:shd w:val="clear" w:color="auto" w:fill="auto"/>
          </w:tcPr>
          <w:p w:rsidR="00214DC6" w:rsidRDefault="00214DC6" w:rsidP="00666A2F">
            <w:pPr>
              <w:jc w:val="center"/>
            </w:pPr>
            <w:r w:rsidRPr="006620F6">
              <w:t>N</w:t>
            </w:r>
            <w:r>
              <w:rPr>
                <w:sz w:val="16"/>
              </w:rPr>
              <w:t>1</w:t>
            </w:r>
          </w:p>
        </w:tc>
      </w:tr>
      <w:tr w:rsidR="00214DC6" w:rsidTr="00214DC6">
        <w:tc>
          <w:tcPr>
            <w:tcW w:w="1918" w:type="dxa"/>
            <w:shd w:val="clear" w:color="auto" w:fill="auto"/>
          </w:tcPr>
          <w:p w:rsidR="00214DC6" w:rsidRDefault="00214DC6" w:rsidP="00666A2F">
            <w:pPr>
              <w:jc w:val="center"/>
            </w:pPr>
            <w:r>
              <w:t>2</w:t>
            </w:r>
          </w:p>
        </w:tc>
        <w:tc>
          <w:tcPr>
            <w:tcW w:w="1254" w:type="dxa"/>
          </w:tcPr>
          <w:p w:rsidR="00214DC6" w:rsidRDefault="00214DC6" w:rsidP="00666A2F">
            <w:pPr>
              <w:jc w:val="center"/>
            </w:pPr>
            <w:r>
              <w:t>0.4</w:t>
            </w:r>
          </w:p>
        </w:tc>
        <w:tc>
          <w:tcPr>
            <w:tcW w:w="1261" w:type="dxa"/>
          </w:tcPr>
          <w:p w:rsidR="00214DC6" w:rsidRDefault="00214DC6" w:rsidP="00666A2F">
            <w:pPr>
              <w:jc w:val="center"/>
            </w:pPr>
            <w:r>
              <w:t>3.2</w:t>
            </w:r>
          </w:p>
        </w:tc>
        <w:tc>
          <w:tcPr>
            <w:tcW w:w="1256" w:type="dxa"/>
          </w:tcPr>
          <w:p w:rsidR="00214DC6" w:rsidRPr="006620F6" w:rsidRDefault="00CD4CB5" w:rsidP="00666A2F">
            <w:pPr>
              <w:jc w:val="center"/>
            </w:pPr>
            <w:r>
              <w:t>18</w:t>
            </w:r>
          </w:p>
        </w:tc>
        <w:tc>
          <w:tcPr>
            <w:tcW w:w="1553" w:type="dxa"/>
            <w:shd w:val="clear" w:color="auto" w:fill="auto"/>
          </w:tcPr>
          <w:p w:rsidR="00214DC6" w:rsidRDefault="00214DC6" w:rsidP="00666A2F">
            <w:pPr>
              <w:jc w:val="center"/>
            </w:pPr>
            <w:r w:rsidRPr="006620F6">
              <w:t>N</w:t>
            </w:r>
            <w:r>
              <w:rPr>
                <w:sz w:val="16"/>
              </w:rPr>
              <w:t>2</w:t>
            </w:r>
          </w:p>
        </w:tc>
      </w:tr>
      <w:tr w:rsidR="006878EF" w:rsidTr="00D31D8C">
        <w:tc>
          <w:tcPr>
            <w:tcW w:w="7242" w:type="dxa"/>
            <w:gridSpan w:val="5"/>
            <w:shd w:val="clear" w:color="auto" w:fill="auto"/>
          </w:tcPr>
          <w:p w:rsidR="006878EF" w:rsidRPr="006878EF" w:rsidRDefault="006878EF" w:rsidP="006878EF">
            <w:r>
              <w:t xml:space="preserve">Note:  </w:t>
            </w:r>
            <w:r w:rsidRPr="006620F6">
              <w:t>N</w:t>
            </w:r>
            <w:r w:rsidRPr="006620F6">
              <w:rPr>
                <w:sz w:val="16"/>
              </w:rPr>
              <w:t>0</w:t>
            </w:r>
            <w:r>
              <w:rPr>
                <w:sz w:val="16"/>
              </w:rPr>
              <w:t>+</w:t>
            </w:r>
            <w:r w:rsidRPr="006620F6">
              <w:t xml:space="preserve"> N</w:t>
            </w:r>
            <w:r>
              <w:rPr>
                <w:sz w:val="16"/>
              </w:rPr>
              <w:t>1+</w:t>
            </w:r>
            <w:r w:rsidRPr="006620F6">
              <w:t xml:space="preserve"> N</w:t>
            </w:r>
            <w:r>
              <w:rPr>
                <w:sz w:val="16"/>
              </w:rPr>
              <w:t xml:space="preserve">2 </w:t>
            </w:r>
            <w:r>
              <w:t>&lt;=64. The remaining 64-(</w:t>
            </w:r>
            <w:r w:rsidRPr="006620F6">
              <w:t>N</w:t>
            </w:r>
            <w:r w:rsidRPr="006620F6">
              <w:rPr>
                <w:sz w:val="16"/>
              </w:rPr>
              <w:t>0</w:t>
            </w:r>
            <w:r>
              <w:rPr>
                <w:sz w:val="16"/>
              </w:rPr>
              <w:t>+</w:t>
            </w:r>
            <w:r w:rsidRPr="006620F6">
              <w:t xml:space="preserve"> N</w:t>
            </w:r>
            <w:r>
              <w:rPr>
                <w:sz w:val="16"/>
              </w:rPr>
              <w:t>1+</w:t>
            </w:r>
            <w:r w:rsidRPr="006620F6">
              <w:t xml:space="preserve"> N</w:t>
            </w:r>
            <w:r>
              <w:rPr>
                <w:sz w:val="16"/>
              </w:rPr>
              <w:t>2</w:t>
            </w:r>
            <w:r>
              <w:t>)</w:t>
            </w:r>
            <w:r w:rsidR="00D46996">
              <w:t xml:space="preserve"> preambles are</w:t>
            </w:r>
            <w:r>
              <w:t xml:space="preserve"> reserved for contention-free random access. </w:t>
            </w:r>
            <w:r w:rsidRPr="006620F6">
              <w:t>N</w:t>
            </w:r>
            <w:r w:rsidRPr="006620F6">
              <w:rPr>
                <w:sz w:val="16"/>
              </w:rPr>
              <w:t>0</w:t>
            </w:r>
            <w:r>
              <w:t xml:space="preserve">, </w:t>
            </w:r>
            <w:r w:rsidRPr="006620F6">
              <w:t>N</w:t>
            </w:r>
            <w:r>
              <w:rPr>
                <w:sz w:val="16"/>
              </w:rPr>
              <w:t>1</w:t>
            </w:r>
            <w:r>
              <w:t xml:space="preserve">, and </w:t>
            </w:r>
            <w:r w:rsidRPr="006620F6">
              <w:t>N</w:t>
            </w:r>
            <w:r>
              <w:rPr>
                <w:sz w:val="16"/>
              </w:rPr>
              <w:t xml:space="preserve">2 </w:t>
            </w:r>
            <w:r w:rsidR="006F57E1">
              <w:t>can be configured in each</w:t>
            </w:r>
            <w:r>
              <w:t xml:space="preserve"> cell.</w:t>
            </w:r>
          </w:p>
        </w:tc>
      </w:tr>
    </w:tbl>
    <w:p w:rsidR="001A106A" w:rsidRPr="000F7348" w:rsidRDefault="001A106A" w:rsidP="000F7348"/>
    <w:p w:rsidR="007A1DA5" w:rsidRPr="007A1DA5" w:rsidRDefault="00C258E7" w:rsidP="007A1DA5">
      <w:pPr>
        <w:pStyle w:val="Heading1"/>
      </w:pPr>
      <w:r>
        <w:t>Conclusions</w:t>
      </w:r>
    </w:p>
    <w:p w:rsidR="00873AF5" w:rsidRDefault="009A40E5" w:rsidP="005F4CB3">
      <w:pPr>
        <w:pStyle w:val="BodyText"/>
      </w:pPr>
      <w:r>
        <w:t>This contribution presen</w:t>
      </w:r>
      <w:r w:rsidR="00F21F4F">
        <w:t>ts detailed PRACH design for NB-</w:t>
      </w:r>
      <w:r>
        <w:t xml:space="preserve">LTE. The general design principles </w:t>
      </w:r>
      <w:r w:rsidR="00F21F4F">
        <w:t>of NB-</w:t>
      </w:r>
      <w:r w:rsidR="00A20F1F">
        <w:t xml:space="preserve">LTE PRACH </w:t>
      </w:r>
      <w:r w:rsidR="008C5C1A">
        <w:t>follow those of</w:t>
      </w:r>
      <w:r>
        <w:t xml:space="preserve"> LTE, but certain modifications are proposed to a</w:t>
      </w:r>
      <w:r w:rsidR="00F21F4F">
        <w:t>dapt the LTE PRACH design to NB-</w:t>
      </w:r>
      <w:r>
        <w:t>LTE that operates with a much reduced bandwidth.</w:t>
      </w:r>
      <w:r w:rsidR="008053CC">
        <w:t xml:space="preserve"> The </w:t>
      </w:r>
      <w:r w:rsidR="00F21F4F">
        <w:t>NB-</w:t>
      </w:r>
      <w:r w:rsidR="008053CC">
        <w:t>LTE PRACH</w:t>
      </w:r>
      <w:r>
        <w:t xml:space="preserve"> </w:t>
      </w:r>
      <w:r w:rsidR="008053CC">
        <w:t xml:space="preserve">design is flexible and can be configured depending on cell size and system load. </w:t>
      </w:r>
      <w:r w:rsidR="00873AF5" w:rsidRPr="00873AF5">
        <w:t>A cell size of 60 km is supported by the design, which exceeds the 35 km requirement set by the study.</w:t>
      </w:r>
    </w:p>
    <w:p w:rsidR="001C643B" w:rsidRDefault="008053CC" w:rsidP="005F4CB3">
      <w:pPr>
        <w:pStyle w:val="BodyText"/>
      </w:pPr>
      <w:r>
        <w:t>Simulation results</w:t>
      </w:r>
      <w:r w:rsidR="00815523">
        <w:t xml:space="preserve"> presented in </w:t>
      </w:r>
      <w:r w:rsidR="00815523">
        <w:fldChar w:fldCharType="begin"/>
      </w:r>
      <w:r w:rsidR="00815523">
        <w:instrText xml:space="preserve"> REF _Ref426014464 \r \h </w:instrText>
      </w:r>
      <w:r w:rsidR="00815523">
        <w:fldChar w:fldCharType="separate"/>
      </w:r>
      <w:r w:rsidR="00616D87">
        <w:t>[4]</w:t>
      </w:r>
      <w:r w:rsidR="00815523">
        <w:fldChar w:fldCharType="end"/>
      </w:r>
      <w:r>
        <w:t xml:space="preserve"> show that the design can meet 164 dB MCL</w:t>
      </w:r>
      <w:r w:rsidR="00863416">
        <w:t xml:space="preserve"> target</w:t>
      </w:r>
      <w:r>
        <w:t xml:space="preserve"> and enable satisfactory time-of-arrival estimation at the base stations.</w:t>
      </w:r>
    </w:p>
    <w:p w:rsidR="00E17DDB" w:rsidRDefault="00E17DDB" w:rsidP="00E17DDB">
      <w:pPr>
        <w:pStyle w:val="Heading1"/>
      </w:pPr>
      <w:r>
        <w:lastRenderedPageBreak/>
        <w:t>References</w:t>
      </w:r>
    </w:p>
    <w:bookmarkStart w:id="6" w:name="_Ref397674406"/>
    <w:bookmarkStart w:id="7" w:name="_Ref403069021"/>
    <w:bookmarkStart w:id="8" w:name="_Ref384735847"/>
    <w:p w:rsidR="006E426D" w:rsidRDefault="006E426D" w:rsidP="006E426D">
      <w:pPr>
        <w:pStyle w:val="Reference"/>
      </w:pPr>
      <w:r>
        <w:fldChar w:fldCharType="begin"/>
      </w:r>
      <w:r>
        <w:instrText xml:space="preserve"> HYPERLINK "ftp://www.3gpp.org/tsg_geran/TSG_GERAN/GERAN_62_Valencia/Docs/GP-140421.zip" </w:instrText>
      </w:r>
      <w:r>
        <w:fldChar w:fldCharType="separate"/>
      </w:r>
      <w:r>
        <w:rPr>
          <w:rStyle w:val="Hyperlink"/>
        </w:rPr>
        <w:t>GP-140421</w:t>
      </w:r>
      <w:r>
        <w:fldChar w:fldCharType="end"/>
      </w:r>
      <w:r>
        <w:t>, “</w:t>
      </w:r>
      <w:r w:rsidRPr="005D3FC4">
        <w:t>New Study Item on Cellular System Support for Ultra Low Complexity and Low Throughput Internet of Things (FS_IoT_LC) (revision of GP-140418)</w:t>
      </w:r>
      <w:r w:rsidR="00CB72F3">
        <w:t>,”</w:t>
      </w:r>
      <w:r>
        <w:t xml:space="preserve"> source </w:t>
      </w:r>
      <w:r w:rsidRPr="005D3FC4">
        <w:t>VODAFONE Group Plc.</w:t>
      </w:r>
      <w:r>
        <w:t xml:space="preserve"> GERAN#62</w:t>
      </w:r>
      <w:bookmarkEnd w:id="6"/>
      <w:r>
        <w:t>.</w:t>
      </w:r>
      <w:bookmarkEnd w:id="7"/>
    </w:p>
    <w:bookmarkStart w:id="9" w:name="_Ref425165970"/>
    <w:bookmarkStart w:id="10" w:name="_Ref424822534"/>
    <w:p w:rsidR="000A1463" w:rsidRPr="00CB72F3" w:rsidRDefault="005B0225" w:rsidP="00A81A34">
      <w:pPr>
        <w:pStyle w:val="Reference"/>
      </w:pPr>
      <w:r>
        <w:rPr>
          <w:rFonts w:eastAsia="Times New Roman" w:cs="NimbusRomNo9L-Regu"/>
          <w:color w:val="231F20"/>
        </w:rPr>
        <w:fldChar w:fldCharType="begin"/>
      </w:r>
      <w:r>
        <w:rPr>
          <w:rFonts w:eastAsia="Times New Roman" w:cs="NimbusRomNo9L-Regu"/>
          <w:color w:val="231F20"/>
        </w:rPr>
        <w:instrText xml:space="preserve"> HYPERLINK "http://www.3gpp.org/ftp/Specs/archive/45_series/45.820/45820-131.zip" </w:instrText>
      </w:r>
      <w:r>
        <w:rPr>
          <w:rFonts w:eastAsia="Times New Roman" w:cs="NimbusRomNo9L-Regu"/>
          <w:color w:val="231F20"/>
        </w:rPr>
        <w:fldChar w:fldCharType="separate"/>
      </w:r>
      <w:r w:rsidR="000A1463" w:rsidRPr="005B0225">
        <w:rPr>
          <w:rStyle w:val="Hyperlink"/>
          <w:rFonts w:eastAsia="Times New Roman" w:cs="NimbusRomNo9L-Regu"/>
        </w:rPr>
        <w:t xml:space="preserve">3GPP </w:t>
      </w:r>
      <w:r w:rsidR="00A81A34" w:rsidRPr="005B0225">
        <w:rPr>
          <w:rStyle w:val="Hyperlink"/>
          <w:rFonts w:eastAsia="Times New Roman" w:cs="NimbusRomNo9L-Regu"/>
        </w:rPr>
        <w:t>TR 45.820</w:t>
      </w:r>
      <w:r>
        <w:rPr>
          <w:rFonts w:eastAsia="Times New Roman" w:cs="NimbusRomNo9L-Regu"/>
          <w:color w:val="231F20"/>
        </w:rPr>
        <w:fldChar w:fldCharType="end"/>
      </w:r>
      <w:r w:rsidR="000A1463">
        <w:rPr>
          <w:rFonts w:eastAsia="Times New Roman" w:cs="NimbusRomNo9L-Regu"/>
          <w:color w:val="231F20"/>
        </w:rPr>
        <w:t>, “</w:t>
      </w:r>
      <w:r w:rsidR="00A81A34" w:rsidRPr="00A81A34">
        <w:rPr>
          <w:rFonts w:eastAsia="Times New Roman" w:cs="NimbusRomNo9L-Regu"/>
          <w:color w:val="231F20"/>
        </w:rPr>
        <w:t>Technical Specification Group GSM/EDGE Radio Access Network; Cellular System</w:t>
      </w:r>
      <w:r w:rsidR="00A81A34">
        <w:rPr>
          <w:rFonts w:eastAsia="Times New Roman" w:cs="NimbusRomNo9L-Regu"/>
          <w:color w:val="231F20"/>
        </w:rPr>
        <w:t>;</w:t>
      </w:r>
      <w:r w:rsidR="00A81A34" w:rsidRPr="00A81A34">
        <w:rPr>
          <w:rFonts w:eastAsia="Times New Roman" w:cs="NimbusRomNo9L-Regu"/>
          <w:color w:val="231F20"/>
        </w:rPr>
        <w:t xml:space="preserve"> Support for Ultra Low Complexity and Low Throughput Internet of Things; (Release 13)</w:t>
      </w:r>
      <w:r w:rsidR="000A1463">
        <w:rPr>
          <w:rFonts w:eastAsia="Times New Roman" w:cs="NimbusRomNo9L-Regu"/>
          <w:color w:val="231F20"/>
        </w:rPr>
        <w:t>,”</w:t>
      </w:r>
      <w:r w:rsidR="000A1463" w:rsidRPr="00CB72F3">
        <w:rPr>
          <w:rFonts w:eastAsia="Times New Roman" w:cs="NimbusRomNo9L-Regu"/>
          <w:color w:val="231F20"/>
        </w:rPr>
        <w:t xml:space="preserve"> www.3gpp.org.</w:t>
      </w:r>
      <w:bookmarkEnd w:id="9"/>
    </w:p>
    <w:p w:rsidR="006E426D" w:rsidRPr="00565D5A" w:rsidRDefault="00565D5A" w:rsidP="00E17DDB">
      <w:pPr>
        <w:pStyle w:val="Reference"/>
      </w:pPr>
      <w:bookmarkStart w:id="11" w:name="_Ref425173537"/>
      <w:r w:rsidRPr="00565D5A">
        <w:t>GP-150779, “</w:t>
      </w:r>
      <w:r w:rsidRPr="00565D5A">
        <w:rPr>
          <w:rFonts w:cs="Arial"/>
        </w:rPr>
        <w:t>Narrowband LTE – Concept description</w:t>
      </w:r>
      <w:r w:rsidR="001F0A45" w:rsidRPr="00565D5A">
        <w:t>,</w:t>
      </w:r>
      <w:r w:rsidR="006E426D" w:rsidRPr="00565D5A">
        <w:t>”</w:t>
      </w:r>
      <w:bookmarkEnd w:id="10"/>
      <w:r w:rsidR="006C704B" w:rsidRPr="00565D5A">
        <w:t xml:space="preserve"> source Ericsson LM; Nokia Networks; AT&amp;T; Alcatel-Lucent; Alcatel-Lucent Shangh</w:t>
      </w:r>
      <w:r w:rsidR="00A71469">
        <w:t xml:space="preserve">ai Bell; Intel; SierraWireless; </w:t>
      </w:r>
      <w:bookmarkStart w:id="12" w:name="_GoBack"/>
      <w:bookmarkEnd w:id="12"/>
      <w:r w:rsidR="00A71469">
        <w:t xml:space="preserve">Sequans, </w:t>
      </w:r>
      <w:r w:rsidR="006C704B" w:rsidRPr="00565D5A">
        <w:t>GERAN#67</w:t>
      </w:r>
      <w:r w:rsidR="001F0A45" w:rsidRPr="00565D5A">
        <w:t>.</w:t>
      </w:r>
      <w:bookmarkEnd w:id="11"/>
    </w:p>
    <w:p w:rsidR="007D2D86" w:rsidRPr="00565D5A" w:rsidRDefault="00565D5A" w:rsidP="00E17DDB">
      <w:pPr>
        <w:pStyle w:val="Reference"/>
      </w:pPr>
      <w:bookmarkStart w:id="13" w:name="_Ref426014464"/>
      <w:r w:rsidRPr="00565D5A">
        <w:t>GP-150788</w:t>
      </w:r>
      <w:r w:rsidR="007D2D86" w:rsidRPr="00565D5A">
        <w:t>, “</w:t>
      </w:r>
      <w:r w:rsidRPr="00565D5A">
        <w:rPr>
          <w:rFonts w:cs="Arial"/>
        </w:rPr>
        <w:t>Narrowband LTE – Random access performance evaluation</w:t>
      </w:r>
      <w:r w:rsidR="00DC6EC5" w:rsidRPr="00565D5A">
        <w:t xml:space="preserve">,” source </w:t>
      </w:r>
      <w:r w:rsidR="00DC6EC5" w:rsidRPr="00565D5A">
        <w:rPr>
          <w:rFonts w:cs="Arial"/>
        </w:rPr>
        <w:t>Eri</w:t>
      </w:r>
      <w:r>
        <w:rPr>
          <w:rFonts w:cs="Arial"/>
        </w:rPr>
        <w:t>csson LM;</w:t>
      </w:r>
      <w:r w:rsidR="00DC6EC5" w:rsidRPr="00565D5A">
        <w:rPr>
          <w:rFonts w:cs="Arial"/>
        </w:rPr>
        <w:t xml:space="preserve"> Nokia Networks</w:t>
      </w:r>
      <w:r w:rsidR="006C704B" w:rsidRPr="00565D5A">
        <w:t>, GERAN#67</w:t>
      </w:r>
      <w:r w:rsidR="007D2D86" w:rsidRPr="00565D5A">
        <w:t>.</w:t>
      </w:r>
      <w:bookmarkEnd w:id="13"/>
    </w:p>
    <w:bookmarkStart w:id="14" w:name="_Ref426014921"/>
    <w:p w:rsidR="002A4D21" w:rsidRPr="00CB72F3" w:rsidRDefault="00E30E74" w:rsidP="002A4D21">
      <w:pPr>
        <w:pStyle w:val="Reference"/>
      </w:pPr>
      <w:r>
        <w:fldChar w:fldCharType="begin"/>
      </w:r>
      <w:r>
        <w:instrText xml:space="preserve"> HYPERLINK "http://www.3gpp.org/ftp/Specs/archive/36_series/36.211/36211-c60.zip" </w:instrText>
      </w:r>
      <w:r>
        <w:fldChar w:fldCharType="separate"/>
      </w:r>
      <w:r w:rsidR="002A4D21" w:rsidRPr="005B0225">
        <w:rPr>
          <w:rStyle w:val="Hyperlink"/>
          <w:rFonts w:eastAsia="Times New Roman" w:cs="NimbusRomNo9L-Regu"/>
        </w:rPr>
        <w:t>3GPP Technical Specification 36.211</w:t>
      </w:r>
      <w:r>
        <w:rPr>
          <w:rStyle w:val="Hyperlink"/>
          <w:rFonts w:eastAsia="Times New Roman" w:cs="NimbusRomNo9L-Regu"/>
        </w:rPr>
        <w:fldChar w:fldCharType="end"/>
      </w:r>
      <w:r w:rsidR="002A4D21">
        <w:rPr>
          <w:rFonts w:eastAsia="Times New Roman" w:cs="NimbusRomNo9L-Regu"/>
          <w:color w:val="231F20"/>
        </w:rPr>
        <w:t>, “</w:t>
      </w:r>
      <w:r w:rsidR="002A4D21" w:rsidRPr="00CB72F3">
        <w:rPr>
          <w:rFonts w:eastAsia="Times New Roman" w:cs="NimbusRomNo9L-Regu"/>
          <w:color w:val="231F20"/>
        </w:rPr>
        <w:t>Evolved Universal Terrestrial Radio Access (E-UTRA);</w:t>
      </w:r>
      <w:r w:rsidR="002A4D21">
        <w:t xml:space="preserve"> </w:t>
      </w:r>
      <w:r w:rsidR="002A4D21" w:rsidRPr="00CB72F3">
        <w:rPr>
          <w:rFonts w:eastAsia="Times New Roman" w:cs="NimbusRomNo9L-Regu"/>
          <w:color w:val="231F20"/>
        </w:rPr>
        <w:t>P</w:t>
      </w:r>
      <w:r w:rsidR="002A4D21">
        <w:rPr>
          <w:rFonts w:eastAsia="Times New Roman" w:cs="NimbusRomNo9L-Regu"/>
          <w:color w:val="231F20"/>
        </w:rPr>
        <w:t>hysical Channels and Modulation,”</w:t>
      </w:r>
      <w:r w:rsidR="002A4D21" w:rsidRPr="00CB72F3">
        <w:rPr>
          <w:rFonts w:eastAsia="Times New Roman" w:cs="NimbusRomNo9L-Regu"/>
          <w:color w:val="231F20"/>
        </w:rPr>
        <w:t xml:space="preserve"> www.3gpp.org.</w:t>
      </w:r>
      <w:bookmarkEnd w:id="14"/>
    </w:p>
    <w:bookmarkStart w:id="15" w:name="_Ref424903182"/>
    <w:p w:rsidR="00EC6B0E" w:rsidRPr="00C6640C" w:rsidRDefault="005B0225" w:rsidP="00487C27">
      <w:pPr>
        <w:pStyle w:val="Reference"/>
      </w:pPr>
      <w:r>
        <w:rPr>
          <w:rFonts w:eastAsia="Times New Roman" w:cs="NimbusRomNo9L-Regu"/>
          <w:color w:val="231F20"/>
        </w:rPr>
        <w:fldChar w:fldCharType="begin"/>
      </w:r>
      <w:r>
        <w:rPr>
          <w:rFonts w:eastAsia="Times New Roman" w:cs="NimbusRomNo9L-Regu"/>
          <w:color w:val="231F20"/>
        </w:rPr>
        <w:instrText xml:space="preserve"> HYPERLINK "http://www.3gpp.org/ftp/Specs/archive/36_series/36.300/36300-d00.zip" </w:instrText>
      </w:r>
      <w:r>
        <w:rPr>
          <w:rFonts w:eastAsia="Times New Roman" w:cs="NimbusRomNo9L-Regu"/>
          <w:color w:val="231F20"/>
        </w:rPr>
        <w:fldChar w:fldCharType="separate"/>
      </w:r>
      <w:r w:rsidR="002A4D21" w:rsidRPr="005B0225">
        <w:rPr>
          <w:rStyle w:val="Hyperlink"/>
          <w:rFonts w:eastAsia="Times New Roman" w:cs="NimbusRomNo9L-Regu"/>
        </w:rPr>
        <w:t>3GPP Technical Specification 36.300</w:t>
      </w:r>
      <w:r>
        <w:rPr>
          <w:rFonts w:eastAsia="Times New Roman" w:cs="NimbusRomNo9L-Regu"/>
          <w:color w:val="231F20"/>
        </w:rPr>
        <w:fldChar w:fldCharType="end"/>
      </w:r>
      <w:r w:rsidR="002A4D21">
        <w:rPr>
          <w:rFonts w:eastAsia="Times New Roman" w:cs="NimbusRomNo9L-Regu"/>
          <w:color w:val="231F20"/>
        </w:rPr>
        <w:t>, “</w:t>
      </w:r>
      <w:r w:rsidR="002A4D21" w:rsidRPr="005132EF">
        <w:rPr>
          <w:lang w:eastAsia="ja-JP"/>
        </w:rPr>
        <w:t>Evolved Universal Ter</w:t>
      </w:r>
      <w:r w:rsidR="002A4D21">
        <w:rPr>
          <w:lang w:eastAsia="ja-JP"/>
        </w:rPr>
        <w:t xml:space="preserve">restrial Radio Access (E-UTRA) </w:t>
      </w:r>
      <w:r w:rsidR="002A4D21" w:rsidRPr="005132EF">
        <w:rPr>
          <w:lang w:eastAsia="ja-JP"/>
        </w:rPr>
        <w:t>and Evolved Universal Te</w:t>
      </w:r>
      <w:r w:rsidR="002A4072">
        <w:rPr>
          <w:lang w:eastAsia="ja-JP"/>
        </w:rPr>
        <w:t xml:space="preserve">rrestrial Radio Access Network </w:t>
      </w:r>
      <w:r w:rsidR="002A4D21" w:rsidRPr="005132EF">
        <w:rPr>
          <w:lang w:eastAsia="ja-JP"/>
        </w:rPr>
        <w:t>(E-UTRAN);</w:t>
      </w:r>
      <w:r w:rsidR="002A4D21">
        <w:t xml:space="preserve"> </w:t>
      </w:r>
      <w:r w:rsidR="002A4D21" w:rsidRPr="005132EF">
        <w:t>Overall description;</w:t>
      </w:r>
      <w:r w:rsidR="002A4D21">
        <w:t xml:space="preserve"> </w:t>
      </w:r>
      <w:r w:rsidR="002A4D21" w:rsidRPr="005132EF">
        <w:t>Stage 2</w:t>
      </w:r>
      <w:r w:rsidR="002A4D21">
        <w:t xml:space="preserve"> </w:t>
      </w:r>
      <w:r w:rsidR="002A4D21" w:rsidRPr="005132EF">
        <w:t>(</w:t>
      </w:r>
      <w:r w:rsidR="002A4D21" w:rsidRPr="005132EF">
        <w:rPr>
          <w:rStyle w:val="ZGSM"/>
        </w:rPr>
        <w:t>Release 1</w:t>
      </w:r>
      <w:r w:rsidR="002A4D21">
        <w:rPr>
          <w:rStyle w:val="ZGSM"/>
        </w:rPr>
        <w:t>3</w:t>
      </w:r>
      <w:r w:rsidR="002A4D21" w:rsidRPr="005132EF">
        <w:t>)</w:t>
      </w:r>
      <w:r w:rsidR="002A4D21">
        <w:t xml:space="preserve">,” </w:t>
      </w:r>
      <w:r w:rsidR="00EC6B0E" w:rsidRPr="00EF0FB5">
        <w:rPr>
          <w:rFonts w:eastAsia="Times New Roman" w:cs="NimbusRomNo9L-Regu"/>
        </w:rPr>
        <w:t>www.3gpp.org</w:t>
      </w:r>
      <w:bookmarkEnd w:id="8"/>
      <w:bookmarkEnd w:id="15"/>
      <w:r w:rsidR="002A4072">
        <w:rPr>
          <w:rFonts w:eastAsia="Times New Roman" w:cs="NimbusRomNo9L-Regu"/>
          <w:color w:val="231F20"/>
        </w:rPr>
        <w:t>.</w:t>
      </w:r>
    </w:p>
    <w:sectPr w:rsidR="00EC6B0E" w:rsidRPr="00C6640C" w:rsidSect="002D4FA5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F83" w:rsidRDefault="00603F83">
      <w:r>
        <w:separator/>
      </w:r>
    </w:p>
  </w:endnote>
  <w:endnote w:type="continuationSeparator" w:id="0">
    <w:p w:rsidR="00603F83" w:rsidRDefault="00603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busRomNo9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71469">
      <w:rPr>
        <w:rStyle w:val="PageNumber"/>
        <w:noProof/>
      </w:rPr>
      <w:t>6</w:t>
    </w:r>
    <w:r>
      <w:rPr>
        <w:rStyle w:val="PageNumber"/>
      </w:rPr>
      <w:fldChar w:fldCharType="end"/>
    </w:r>
    <w:bookmarkStart w:id="16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71469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7146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7146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F83" w:rsidRDefault="00603F83">
      <w:r>
        <w:separator/>
      </w:r>
    </w:p>
  </w:footnote>
  <w:footnote w:type="continuationSeparator" w:id="0">
    <w:p w:rsidR="00603F83" w:rsidRDefault="00603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 w:rsidP="00EA60C1">
    <w:pPr>
      <w:pStyle w:val="Header"/>
      <w:rPr>
        <w:lang w:val="sv-SE"/>
      </w:rPr>
    </w:pPr>
    <w:r>
      <w:rPr>
        <w:lang w:val="sv-SE"/>
      </w:rPr>
      <w:t>3GPP TSG GERAN#</w:t>
    </w:r>
    <w:r w:rsidR="0079582B">
      <w:rPr>
        <w:lang w:val="sv-SE"/>
      </w:rPr>
      <w:t>67</w:t>
    </w:r>
    <w:r>
      <w:rPr>
        <w:lang w:val="sv-SE"/>
      </w:rPr>
      <w:tab/>
    </w:r>
    <w:r>
      <w:rPr>
        <w:lang w:val="sv-SE"/>
      </w:rPr>
      <w:tab/>
      <w:t>Tdoc GP-</w:t>
    </w:r>
    <w:r w:rsidR="0079582B">
      <w:rPr>
        <w:lang w:val="sv-SE"/>
      </w:rPr>
      <w:t>150781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 w:rsidP="0015360B">
    <w:pPr>
      <w:pStyle w:val="Header"/>
      <w:spacing w:after="0"/>
      <w:rPr>
        <w:lang w:val="sv-SE"/>
      </w:rPr>
    </w:pPr>
    <w:r>
      <w:rPr>
        <w:lang w:val="sv-SE"/>
      </w:rPr>
      <w:t>3GPP TSG GERAN#</w:t>
    </w:r>
    <w:r w:rsidR="009C6A6F">
      <w:rPr>
        <w:lang w:val="sv-SE"/>
      </w:rPr>
      <w:t>67</w:t>
    </w:r>
    <w:r>
      <w:rPr>
        <w:lang w:val="sv-SE"/>
      </w:rPr>
      <w:tab/>
    </w:r>
    <w:r>
      <w:rPr>
        <w:lang w:val="sv-SE"/>
      </w:rPr>
      <w:tab/>
      <w:t>Tdoc GP-</w:t>
    </w:r>
    <w:r w:rsidR="001122B7">
      <w:rPr>
        <w:lang w:val="sv-SE"/>
      </w:rPr>
      <w:t>150781</w:t>
    </w:r>
  </w:p>
  <w:p w:rsidR="00D505CA" w:rsidRPr="00F171F5" w:rsidRDefault="009C6A6F" w:rsidP="0015360B">
    <w:pPr>
      <w:pStyle w:val="Header"/>
      <w:spacing w:after="0"/>
      <w:rPr>
        <w:lang w:val="it-IT"/>
      </w:rPr>
    </w:pPr>
    <w:r>
      <w:rPr>
        <w:lang w:val="it-IT"/>
      </w:rPr>
      <w:t>Yin Chuan, China</w:t>
    </w:r>
    <w:r w:rsidR="00D505CA" w:rsidRPr="00F171F5">
      <w:rPr>
        <w:lang w:val="it-IT"/>
      </w:rPr>
      <w:tab/>
    </w:r>
    <w:r w:rsidR="00D505CA" w:rsidRPr="00F171F5">
      <w:rPr>
        <w:lang w:val="it-IT"/>
      </w:rPr>
      <w:tab/>
      <w:t xml:space="preserve">Agenda item </w:t>
    </w:r>
    <w:r w:rsidR="0079582B">
      <w:rPr>
        <w:lang w:val="it-IT"/>
      </w:rPr>
      <w:t>7.1.5.3.5.7</w:t>
    </w:r>
  </w:p>
  <w:p w:rsidR="00D505CA" w:rsidRPr="00264773" w:rsidRDefault="007D6B7B" w:rsidP="0015360B">
    <w:pPr>
      <w:pStyle w:val="Header"/>
      <w:spacing w:after="0"/>
      <w:rPr>
        <w:snapToGrid w:val="0"/>
      </w:rPr>
    </w:pPr>
    <w:r>
      <w:t>10</w:t>
    </w:r>
    <w:r w:rsidR="00D505CA" w:rsidRPr="00264773">
      <w:rPr>
        <w:vertAlign w:val="superscript"/>
      </w:rPr>
      <w:t>th</w:t>
    </w:r>
    <w:r w:rsidR="00D505CA" w:rsidRPr="00264773">
      <w:t xml:space="preserve">– </w:t>
    </w:r>
    <w:r>
      <w:t>13</w:t>
    </w:r>
    <w:r w:rsidR="00B74E2C" w:rsidRPr="00B74E2C">
      <w:rPr>
        <w:vertAlign w:val="superscript"/>
      </w:rPr>
      <w:t>th</w:t>
    </w:r>
    <w:r>
      <w:t xml:space="preserve"> August</w:t>
    </w:r>
    <w:r w:rsidR="00D505CA" w:rsidRPr="00264773">
      <w:t xml:space="preserve">, </w:t>
    </w:r>
    <w:r>
      <w:t>2015</w:t>
    </w:r>
    <w:r w:rsidR="00D505CA" w:rsidRPr="00264773">
      <w:br/>
    </w:r>
    <w:bookmarkStart w:id="17" w:name="_Ref515183447"/>
    <w:bookmarkEnd w:id="17"/>
    <w:r w:rsidR="00D505CA" w:rsidRPr="00264773">
      <w:t xml:space="preserve">Source: </w:t>
    </w:r>
    <w:r w:rsidR="00C10655">
      <w:t>Ericsson</w:t>
    </w:r>
    <w:r w:rsidR="00BA5650">
      <w:t xml:space="preserve"> LM</w:t>
    </w:r>
    <w:r>
      <w:t>; Nokia Networks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84610A7"/>
    <w:multiLevelType w:val="hybridMultilevel"/>
    <w:tmpl w:val="2B3036BA"/>
    <w:lvl w:ilvl="0" w:tplc="F5DC8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2A2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EEB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C6D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E492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0E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043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E9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705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D7E32B9"/>
    <w:multiLevelType w:val="hybridMultilevel"/>
    <w:tmpl w:val="5D88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C63C28"/>
    <w:multiLevelType w:val="hybridMultilevel"/>
    <w:tmpl w:val="2236E9F2"/>
    <w:lvl w:ilvl="0" w:tplc="9878A2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6455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D4E3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C7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28E7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E08C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CDB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ABF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6C9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10"/>
  </w:num>
  <w:num w:numId="9">
    <w:abstractNumId w:val="13"/>
  </w:num>
  <w:num w:numId="10">
    <w:abstractNumId w:val="15"/>
  </w:num>
  <w:num w:numId="11">
    <w:abstractNumId w:val="9"/>
  </w:num>
  <w:num w:numId="12">
    <w:abstractNumId w:val="8"/>
  </w:num>
  <w:num w:numId="13">
    <w:abstractNumId w:val="0"/>
  </w:num>
  <w:num w:numId="14">
    <w:abstractNumId w:val="16"/>
  </w:num>
  <w:num w:numId="15">
    <w:abstractNumId w:val="14"/>
  </w:num>
  <w:num w:numId="16">
    <w:abstractNumId w:val="12"/>
  </w:num>
  <w:num w:numId="17">
    <w:abstractNumId w:val="6"/>
  </w:num>
  <w:num w:numId="1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1D02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770"/>
    <w:rsid w:val="000140A6"/>
    <w:rsid w:val="000151F4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7AA"/>
    <w:rsid w:val="00023CB2"/>
    <w:rsid w:val="00023F23"/>
    <w:rsid w:val="0002404E"/>
    <w:rsid w:val="00024D19"/>
    <w:rsid w:val="00025AA8"/>
    <w:rsid w:val="000266D7"/>
    <w:rsid w:val="00026F40"/>
    <w:rsid w:val="00027340"/>
    <w:rsid w:val="0002751E"/>
    <w:rsid w:val="00031432"/>
    <w:rsid w:val="00032747"/>
    <w:rsid w:val="00036EE4"/>
    <w:rsid w:val="00036FBD"/>
    <w:rsid w:val="0004021D"/>
    <w:rsid w:val="00041ECD"/>
    <w:rsid w:val="000432B9"/>
    <w:rsid w:val="000476F1"/>
    <w:rsid w:val="00051509"/>
    <w:rsid w:val="0005267D"/>
    <w:rsid w:val="000558BC"/>
    <w:rsid w:val="00055A48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4FA"/>
    <w:rsid w:val="00070721"/>
    <w:rsid w:val="000711CC"/>
    <w:rsid w:val="00071548"/>
    <w:rsid w:val="00071AF4"/>
    <w:rsid w:val="00072BAE"/>
    <w:rsid w:val="00074479"/>
    <w:rsid w:val="00074B2B"/>
    <w:rsid w:val="0008045A"/>
    <w:rsid w:val="00081D0E"/>
    <w:rsid w:val="00082CF2"/>
    <w:rsid w:val="00084917"/>
    <w:rsid w:val="000853AB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51C2"/>
    <w:rsid w:val="000976AC"/>
    <w:rsid w:val="000A097D"/>
    <w:rsid w:val="000A107F"/>
    <w:rsid w:val="000A1463"/>
    <w:rsid w:val="000A2AF0"/>
    <w:rsid w:val="000A4168"/>
    <w:rsid w:val="000A60D0"/>
    <w:rsid w:val="000A614E"/>
    <w:rsid w:val="000A764B"/>
    <w:rsid w:val="000A7BFE"/>
    <w:rsid w:val="000B0697"/>
    <w:rsid w:val="000B0822"/>
    <w:rsid w:val="000B0D3D"/>
    <w:rsid w:val="000B11CF"/>
    <w:rsid w:val="000B39FB"/>
    <w:rsid w:val="000B3D19"/>
    <w:rsid w:val="000B480F"/>
    <w:rsid w:val="000B48E1"/>
    <w:rsid w:val="000B4A93"/>
    <w:rsid w:val="000B4CA8"/>
    <w:rsid w:val="000B4E8D"/>
    <w:rsid w:val="000B60B6"/>
    <w:rsid w:val="000B62EB"/>
    <w:rsid w:val="000B74A0"/>
    <w:rsid w:val="000C01CF"/>
    <w:rsid w:val="000C0EF3"/>
    <w:rsid w:val="000C246D"/>
    <w:rsid w:val="000C4CE8"/>
    <w:rsid w:val="000C53C6"/>
    <w:rsid w:val="000C5E80"/>
    <w:rsid w:val="000C68E2"/>
    <w:rsid w:val="000C6B47"/>
    <w:rsid w:val="000C724E"/>
    <w:rsid w:val="000C7E27"/>
    <w:rsid w:val="000D04AC"/>
    <w:rsid w:val="000D0A0B"/>
    <w:rsid w:val="000D0EAC"/>
    <w:rsid w:val="000D2446"/>
    <w:rsid w:val="000D3820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3DC0"/>
    <w:rsid w:val="000F4D16"/>
    <w:rsid w:val="000F56BC"/>
    <w:rsid w:val="000F57C1"/>
    <w:rsid w:val="000F7348"/>
    <w:rsid w:val="000F788A"/>
    <w:rsid w:val="00100C8D"/>
    <w:rsid w:val="00100EDF"/>
    <w:rsid w:val="00101EDB"/>
    <w:rsid w:val="0010227F"/>
    <w:rsid w:val="0010266B"/>
    <w:rsid w:val="00102A08"/>
    <w:rsid w:val="00102AAA"/>
    <w:rsid w:val="001037E9"/>
    <w:rsid w:val="001038AA"/>
    <w:rsid w:val="001043EF"/>
    <w:rsid w:val="00104544"/>
    <w:rsid w:val="0010477A"/>
    <w:rsid w:val="001047A7"/>
    <w:rsid w:val="00104E41"/>
    <w:rsid w:val="00105050"/>
    <w:rsid w:val="00105E9B"/>
    <w:rsid w:val="00106E10"/>
    <w:rsid w:val="00110418"/>
    <w:rsid w:val="001116D8"/>
    <w:rsid w:val="00111AD5"/>
    <w:rsid w:val="001122B7"/>
    <w:rsid w:val="00112EF5"/>
    <w:rsid w:val="001132C2"/>
    <w:rsid w:val="001145B1"/>
    <w:rsid w:val="001158B9"/>
    <w:rsid w:val="001162C0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ADE"/>
    <w:rsid w:val="00132BEB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47FD9"/>
    <w:rsid w:val="00150483"/>
    <w:rsid w:val="001519E1"/>
    <w:rsid w:val="00152BC4"/>
    <w:rsid w:val="00152F4E"/>
    <w:rsid w:val="0015360B"/>
    <w:rsid w:val="001547D7"/>
    <w:rsid w:val="00154A3E"/>
    <w:rsid w:val="00155385"/>
    <w:rsid w:val="001561D6"/>
    <w:rsid w:val="00157ED0"/>
    <w:rsid w:val="00157F3D"/>
    <w:rsid w:val="001623CF"/>
    <w:rsid w:val="00162633"/>
    <w:rsid w:val="00163CAC"/>
    <w:rsid w:val="00163E27"/>
    <w:rsid w:val="00164472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2AF0"/>
    <w:rsid w:val="00173B04"/>
    <w:rsid w:val="00173BF5"/>
    <w:rsid w:val="00174A53"/>
    <w:rsid w:val="00174B97"/>
    <w:rsid w:val="00175A90"/>
    <w:rsid w:val="00176485"/>
    <w:rsid w:val="00176DD7"/>
    <w:rsid w:val="00177B39"/>
    <w:rsid w:val="00182A07"/>
    <w:rsid w:val="00182EA3"/>
    <w:rsid w:val="001841E7"/>
    <w:rsid w:val="0018501E"/>
    <w:rsid w:val="001853A4"/>
    <w:rsid w:val="001857EC"/>
    <w:rsid w:val="001865CD"/>
    <w:rsid w:val="00186826"/>
    <w:rsid w:val="00186BB6"/>
    <w:rsid w:val="001873BB"/>
    <w:rsid w:val="001879A6"/>
    <w:rsid w:val="00187FFC"/>
    <w:rsid w:val="00190AED"/>
    <w:rsid w:val="00190F54"/>
    <w:rsid w:val="001919BD"/>
    <w:rsid w:val="00192386"/>
    <w:rsid w:val="0019274D"/>
    <w:rsid w:val="0019378B"/>
    <w:rsid w:val="00193BE6"/>
    <w:rsid w:val="0019426B"/>
    <w:rsid w:val="00196B77"/>
    <w:rsid w:val="001A106A"/>
    <w:rsid w:val="001A14DB"/>
    <w:rsid w:val="001A31E6"/>
    <w:rsid w:val="001A68ED"/>
    <w:rsid w:val="001A6C31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3D1"/>
    <w:rsid w:val="001C34D8"/>
    <w:rsid w:val="001C4C18"/>
    <w:rsid w:val="001C51B3"/>
    <w:rsid w:val="001C643B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0A45"/>
    <w:rsid w:val="001F0B84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1F8"/>
    <w:rsid w:val="00212200"/>
    <w:rsid w:val="002135F4"/>
    <w:rsid w:val="00214891"/>
    <w:rsid w:val="00214DC6"/>
    <w:rsid w:val="00216391"/>
    <w:rsid w:val="002163DA"/>
    <w:rsid w:val="002175C4"/>
    <w:rsid w:val="00217C4A"/>
    <w:rsid w:val="00220D2A"/>
    <w:rsid w:val="00223B6C"/>
    <w:rsid w:val="00223BEE"/>
    <w:rsid w:val="00223DD7"/>
    <w:rsid w:val="002244D6"/>
    <w:rsid w:val="0022497A"/>
    <w:rsid w:val="00225DB2"/>
    <w:rsid w:val="002279D1"/>
    <w:rsid w:val="002301B3"/>
    <w:rsid w:val="00230682"/>
    <w:rsid w:val="0023073F"/>
    <w:rsid w:val="00231EC7"/>
    <w:rsid w:val="00232177"/>
    <w:rsid w:val="002325D0"/>
    <w:rsid w:val="00233DA4"/>
    <w:rsid w:val="00236915"/>
    <w:rsid w:val="002403DF"/>
    <w:rsid w:val="00240ABE"/>
    <w:rsid w:val="00240E3E"/>
    <w:rsid w:val="00240EC4"/>
    <w:rsid w:val="0024107F"/>
    <w:rsid w:val="0024126D"/>
    <w:rsid w:val="0024169A"/>
    <w:rsid w:val="00242AA7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3B2"/>
    <w:rsid w:val="0026749A"/>
    <w:rsid w:val="00267958"/>
    <w:rsid w:val="002708FE"/>
    <w:rsid w:val="00271C0B"/>
    <w:rsid w:val="00275A0A"/>
    <w:rsid w:val="00276C25"/>
    <w:rsid w:val="00277041"/>
    <w:rsid w:val="0027726F"/>
    <w:rsid w:val="00280D07"/>
    <w:rsid w:val="00282F72"/>
    <w:rsid w:val="00283416"/>
    <w:rsid w:val="002847A6"/>
    <w:rsid w:val="00284C25"/>
    <w:rsid w:val="00284EE6"/>
    <w:rsid w:val="00285F61"/>
    <w:rsid w:val="00285F94"/>
    <w:rsid w:val="002860CF"/>
    <w:rsid w:val="0028621E"/>
    <w:rsid w:val="002923B3"/>
    <w:rsid w:val="00292538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0C5B"/>
    <w:rsid w:val="002A1B11"/>
    <w:rsid w:val="002A21A2"/>
    <w:rsid w:val="002A235E"/>
    <w:rsid w:val="002A2719"/>
    <w:rsid w:val="002A2D05"/>
    <w:rsid w:val="002A4072"/>
    <w:rsid w:val="002A428F"/>
    <w:rsid w:val="002A4D21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14C"/>
    <w:rsid w:val="002C168B"/>
    <w:rsid w:val="002C20B2"/>
    <w:rsid w:val="002C2C13"/>
    <w:rsid w:val="002C3AC9"/>
    <w:rsid w:val="002C631C"/>
    <w:rsid w:val="002C6CB3"/>
    <w:rsid w:val="002C6E37"/>
    <w:rsid w:val="002C790C"/>
    <w:rsid w:val="002C7B47"/>
    <w:rsid w:val="002D15B5"/>
    <w:rsid w:val="002D19D8"/>
    <w:rsid w:val="002D1A08"/>
    <w:rsid w:val="002D2269"/>
    <w:rsid w:val="002D28DA"/>
    <w:rsid w:val="002D32A3"/>
    <w:rsid w:val="002D36D3"/>
    <w:rsid w:val="002D4039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37BC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5E0A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232C4"/>
    <w:rsid w:val="003233E9"/>
    <w:rsid w:val="00326141"/>
    <w:rsid w:val="00326F52"/>
    <w:rsid w:val="00327449"/>
    <w:rsid w:val="003278F5"/>
    <w:rsid w:val="00330D9F"/>
    <w:rsid w:val="00330F02"/>
    <w:rsid w:val="0033124A"/>
    <w:rsid w:val="0033215F"/>
    <w:rsid w:val="00332B8E"/>
    <w:rsid w:val="00332D69"/>
    <w:rsid w:val="00332D95"/>
    <w:rsid w:val="0033417A"/>
    <w:rsid w:val="0033483E"/>
    <w:rsid w:val="00335A7F"/>
    <w:rsid w:val="00335D65"/>
    <w:rsid w:val="00336117"/>
    <w:rsid w:val="0033684E"/>
    <w:rsid w:val="003377A3"/>
    <w:rsid w:val="00337A5E"/>
    <w:rsid w:val="00337AD5"/>
    <w:rsid w:val="003430FE"/>
    <w:rsid w:val="00343A5A"/>
    <w:rsid w:val="0034451D"/>
    <w:rsid w:val="00344A53"/>
    <w:rsid w:val="003468BC"/>
    <w:rsid w:val="003468C1"/>
    <w:rsid w:val="00346C12"/>
    <w:rsid w:val="003500A7"/>
    <w:rsid w:val="00351194"/>
    <w:rsid w:val="00351BAD"/>
    <w:rsid w:val="00353745"/>
    <w:rsid w:val="003542BE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38D0"/>
    <w:rsid w:val="00364223"/>
    <w:rsid w:val="00365DAB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37F9"/>
    <w:rsid w:val="00383FEC"/>
    <w:rsid w:val="0038409C"/>
    <w:rsid w:val="003847C3"/>
    <w:rsid w:val="00384A55"/>
    <w:rsid w:val="00385999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1847"/>
    <w:rsid w:val="003A26EA"/>
    <w:rsid w:val="003A2B68"/>
    <w:rsid w:val="003A369D"/>
    <w:rsid w:val="003A3E09"/>
    <w:rsid w:val="003A4956"/>
    <w:rsid w:val="003A50A4"/>
    <w:rsid w:val="003B0092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2228"/>
    <w:rsid w:val="003C4258"/>
    <w:rsid w:val="003C458B"/>
    <w:rsid w:val="003C4B82"/>
    <w:rsid w:val="003C533F"/>
    <w:rsid w:val="003C56F6"/>
    <w:rsid w:val="003C63FD"/>
    <w:rsid w:val="003C6C5D"/>
    <w:rsid w:val="003D00E2"/>
    <w:rsid w:val="003D0379"/>
    <w:rsid w:val="003D3255"/>
    <w:rsid w:val="003D39F6"/>
    <w:rsid w:val="003D50DE"/>
    <w:rsid w:val="003D5365"/>
    <w:rsid w:val="003D5851"/>
    <w:rsid w:val="003D6049"/>
    <w:rsid w:val="003D6395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9DE"/>
    <w:rsid w:val="00401B4C"/>
    <w:rsid w:val="0040211E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86A"/>
    <w:rsid w:val="00420E5E"/>
    <w:rsid w:val="00420EDA"/>
    <w:rsid w:val="00422D60"/>
    <w:rsid w:val="00423FCD"/>
    <w:rsid w:val="00425A42"/>
    <w:rsid w:val="00425F48"/>
    <w:rsid w:val="00426110"/>
    <w:rsid w:val="00426A4B"/>
    <w:rsid w:val="00427216"/>
    <w:rsid w:val="00427A22"/>
    <w:rsid w:val="004310B2"/>
    <w:rsid w:val="00432A46"/>
    <w:rsid w:val="00433BB1"/>
    <w:rsid w:val="00433FEC"/>
    <w:rsid w:val="00434F66"/>
    <w:rsid w:val="004362AD"/>
    <w:rsid w:val="00436C08"/>
    <w:rsid w:val="00440418"/>
    <w:rsid w:val="004413F7"/>
    <w:rsid w:val="00441709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600B0"/>
    <w:rsid w:val="0046074E"/>
    <w:rsid w:val="00461B7B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46E"/>
    <w:rsid w:val="004807A0"/>
    <w:rsid w:val="00480A76"/>
    <w:rsid w:val="00481291"/>
    <w:rsid w:val="004819BD"/>
    <w:rsid w:val="00482735"/>
    <w:rsid w:val="00483D93"/>
    <w:rsid w:val="004855CE"/>
    <w:rsid w:val="00485718"/>
    <w:rsid w:val="00485FB5"/>
    <w:rsid w:val="00487C27"/>
    <w:rsid w:val="00490A59"/>
    <w:rsid w:val="00490C01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33A4"/>
    <w:rsid w:val="004A451F"/>
    <w:rsid w:val="004A53E3"/>
    <w:rsid w:val="004A5668"/>
    <w:rsid w:val="004A58A2"/>
    <w:rsid w:val="004A5CC3"/>
    <w:rsid w:val="004A60E2"/>
    <w:rsid w:val="004A69C8"/>
    <w:rsid w:val="004A7004"/>
    <w:rsid w:val="004B1554"/>
    <w:rsid w:val="004B164D"/>
    <w:rsid w:val="004B3081"/>
    <w:rsid w:val="004B3F1A"/>
    <w:rsid w:val="004B4802"/>
    <w:rsid w:val="004B560E"/>
    <w:rsid w:val="004B6C8B"/>
    <w:rsid w:val="004B7181"/>
    <w:rsid w:val="004C3531"/>
    <w:rsid w:val="004C38D3"/>
    <w:rsid w:val="004C4B4D"/>
    <w:rsid w:val="004C608C"/>
    <w:rsid w:val="004C6682"/>
    <w:rsid w:val="004C7679"/>
    <w:rsid w:val="004C7D78"/>
    <w:rsid w:val="004D04B3"/>
    <w:rsid w:val="004D04C3"/>
    <w:rsid w:val="004D25AA"/>
    <w:rsid w:val="004D2E22"/>
    <w:rsid w:val="004D384B"/>
    <w:rsid w:val="004D3A07"/>
    <w:rsid w:val="004D3D26"/>
    <w:rsid w:val="004D429D"/>
    <w:rsid w:val="004D4C23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E7559"/>
    <w:rsid w:val="004F09C5"/>
    <w:rsid w:val="004F0A4F"/>
    <w:rsid w:val="004F0E48"/>
    <w:rsid w:val="004F1469"/>
    <w:rsid w:val="004F212B"/>
    <w:rsid w:val="004F337C"/>
    <w:rsid w:val="004F38F8"/>
    <w:rsid w:val="004F483D"/>
    <w:rsid w:val="004F4DAD"/>
    <w:rsid w:val="004F57CD"/>
    <w:rsid w:val="004F6AF6"/>
    <w:rsid w:val="00500387"/>
    <w:rsid w:val="0050149B"/>
    <w:rsid w:val="00504DA0"/>
    <w:rsid w:val="005057E5"/>
    <w:rsid w:val="00505A68"/>
    <w:rsid w:val="00505E76"/>
    <w:rsid w:val="00507936"/>
    <w:rsid w:val="005100D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430"/>
    <w:rsid w:val="00523AEF"/>
    <w:rsid w:val="00525053"/>
    <w:rsid w:val="00525A1A"/>
    <w:rsid w:val="00526421"/>
    <w:rsid w:val="005275BF"/>
    <w:rsid w:val="00527ECA"/>
    <w:rsid w:val="00530AA1"/>
    <w:rsid w:val="00532F08"/>
    <w:rsid w:val="005334B3"/>
    <w:rsid w:val="00533CB5"/>
    <w:rsid w:val="00534785"/>
    <w:rsid w:val="00536ECE"/>
    <w:rsid w:val="005379D0"/>
    <w:rsid w:val="00537C09"/>
    <w:rsid w:val="00540363"/>
    <w:rsid w:val="00541822"/>
    <w:rsid w:val="005418B8"/>
    <w:rsid w:val="00542072"/>
    <w:rsid w:val="00542758"/>
    <w:rsid w:val="00542A5B"/>
    <w:rsid w:val="00542DA5"/>
    <w:rsid w:val="0054313F"/>
    <w:rsid w:val="00543811"/>
    <w:rsid w:val="00543A92"/>
    <w:rsid w:val="00545169"/>
    <w:rsid w:val="00545ABA"/>
    <w:rsid w:val="00546A38"/>
    <w:rsid w:val="00546D41"/>
    <w:rsid w:val="005470B5"/>
    <w:rsid w:val="005471D3"/>
    <w:rsid w:val="00547862"/>
    <w:rsid w:val="00550447"/>
    <w:rsid w:val="005514A5"/>
    <w:rsid w:val="0055237B"/>
    <w:rsid w:val="00552484"/>
    <w:rsid w:val="00552682"/>
    <w:rsid w:val="00552B26"/>
    <w:rsid w:val="005543DE"/>
    <w:rsid w:val="005547BA"/>
    <w:rsid w:val="0055641B"/>
    <w:rsid w:val="00557068"/>
    <w:rsid w:val="0056018D"/>
    <w:rsid w:val="00560496"/>
    <w:rsid w:val="00561CD5"/>
    <w:rsid w:val="0056381C"/>
    <w:rsid w:val="0056398F"/>
    <w:rsid w:val="00563A29"/>
    <w:rsid w:val="00564D8B"/>
    <w:rsid w:val="005652B1"/>
    <w:rsid w:val="0056532C"/>
    <w:rsid w:val="00565D5A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2FE6"/>
    <w:rsid w:val="00593C8C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014"/>
    <w:rsid w:val="005A3931"/>
    <w:rsid w:val="005A3F45"/>
    <w:rsid w:val="005A4027"/>
    <w:rsid w:val="005A5955"/>
    <w:rsid w:val="005A5A07"/>
    <w:rsid w:val="005A747E"/>
    <w:rsid w:val="005B0051"/>
    <w:rsid w:val="005B0225"/>
    <w:rsid w:val="005B0E93"/>
    <w:rsid w:val="005B27E9"/>
    <w:rsid w:val="005B3524"/>
    <w:rsid w:val="005B4AEE"/>
    <w:rsid w:val="005B5F16"/>
    <w:rsid w:val="005B6770"/>
    <w:rsid w:val="005B70A3"/>
    <w:rsid w:val="005B78AA"/>
    <w:rsid w:val="005C28D0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4E1C"/>
    <w:rsid w:val="005D5B92"/>
    <w:rsid w:val="005D5DD6"/>
    <w:rsid w:val="005D6473"/>
    <w:rsid w:val="005D6795"/>
    <w:rsid w:val="005D6862"/>
    <w:rsid w:val="005D7D2B"/>
    <w:rsid w:val="005E0B92"/>
    <w:rsid w:val="005E18DA"/>
    <w:rsid w:val="005E1E28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B3D"/>
    <w:rsid w:val="005F4CB3"/>
    <w:rsid w:val="005F50F7"/>
    <w:rsid w:val="005F6ED9"/>
    <w:rsid w:val="0060070D"/>
    <w:rsid w:val="0060110F"/>
    <w:rsid w:val="00601C5D"/>
    <w:rsid w:val="00601E50"/>
    <w:rsid w:val="00603F83"/>
    <w:rsid w:val="0060466E"/>
    <w:rsid w:val="006052FE"/>
    <w:rsid w:val="00605B74"/>
    <w:rsid w:val="0060708B"/>
    <w:rsid w:val="00607753"/>
    <w:rsid w:val="00607BA7"/>
    <w:rsid w:val="00607C00"/>
    <w:rsid w:val="0061108A"/>
    <w:rsid w:val="006113FC"/>
    <w:rsid w:val="006119A3"/>
    <w:rsid w:val="00612DC1"/>
    <w:rsid w:val="00613F82"/>
    <w:rsid w:val="00614212"/>
    <w:rsid w:val="00614EE1"/>
    <w:rsid w:val="00615917"/>
    <w:rsid w:val="00616D8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34A1"/>
    <w:rsid w:val="006343EE"/>
    <w:rsid w:val="00634F9C"/>
    <w:rsid w:val="006355FD"/>
    <w:rsid w:val="00635D9D"/>
    <w:rsid w:val="00636A80"/>
    <w:rsid w:val="00636B6A"/>
    <w:rsid w:val="00636E56"/>
    <w:rsid w:val="00637637"/>
    <w:rsid w:val="00637FB5"/>
    <w:rsid w:val="0064024F"/>
    <w:rsid w:val="00640508"/>
    <w:rsid w:val="00640BED"/>
    <w:rsid w:val="00642116"/>
    <w:rsid w:val="00642503"/>
    <w:rsid w:val="00643545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7E3"/>
    <w:rsid w:val="00652E0D"/>
    <w:rsid w:val="00653594"/>
    <w:rsid w:val="006535FB"/>
    <w:rsid w:val="0065500D"/>
    <w:rsid w:val="00655838"/>
    <w:rsid w:val="00655EB7"/>
    <w:rsid w:val="00657091"/>
    <w:rsid w:val="006573AA"/>
    <w:rsid w:val="006620A5"/>
    <w:rsid w:val="006620F6"/>
    <w:rsid w:val="00662462"/>
    <w:rsid w:val="00663EFE"/>
    <w:rsid w:val="00664B71"/>
    <w:rsid w:val="006653EB"/>
    <w:rsid w:val="00666A2F"/>
    <w:rsid w:val="0066745E"/>
    <w:rsid w:val="00670188"/>
    <w:rsid w:val="0067100F"/>
    <w:rsid w:val="0067120D"/>
    <w:rsid w:val="00671CBC"/>
    <w:rsid w:val="00674101"/>
    <w:rsid w:val="00674774"/>
    <w:rsid w:val="00676049"/>
    <w:rsid w:val="0067611F"/>
    <w:rsid w:val="006770EC"/>
    <w:rsid w:val="006809A9"/>
    <w:rsid w:val="006819AB"/>
    <w:rsid w:val="0068322B"/>
    <w:rsid w:val="00683E81"/>
    <w:rsid w:val="0068430B"/>
    <w:rsid w:val="00685D10"/>
    <w:rsid w:val="00685F12"/>
    <w:rsid w:val="00686E96"/>
    <w:rsid w:val="00686EA0"/>
    <w:rsid w:val="006878EF"/>
    <w:rsid w:val="00687AA2"/>
    <w:rsid w:val="00690F01"/>
    <w:rsid w:val="00691304"/>
    <w:rsid w:val="006913BD"/>
    <w:rsid w:val="0069152B"/>
    <w:rsid w:val="0069194E"/>
    <w:rsid w:val="0069214C"/>
    <w:rsid w:val="00693F43"/>
    <w:rsid w:val="00696557"/>
    <w:rsid w:val="00697CD8"/>
    <w:rsid w:val="00697DA8"/>
    <w:rsid w:val="00697E51"/>
    <w:rsid w:val="006A0288"/>
    <w:rsid w:val="006A1144"/>
    <w:rsid w:val="006A1644"/>
    <w:rsid w:val="006A1DCC"/>
    <w:rsid w:val="006A39B7"/>
    <w:rsid w:val="006A3B03"/>
    <w:rsid w:val="006A41A1"/>
    <w:rsid w:val="006A45A8"/>
    <w:rsid w:val="006A46F0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774"/>
    <w:rsid w:val="006B4A37"/>
    <w:rsid w:val="006B5ABA"/>
    <w:rsid w:val="006B6E1F"/>
    <w:rsid w:val="006B6E9D"/>
    <w:rsid w:val="006B793B"/>
    <w:rsid w:val="006B7EA3"/>
    <w:rsid w:val="006C0972"/>
    <w:rsid w:val="006C1371"/>
    <w:rsid w:val="006C14DB"/>
    <w:rsid w:val="006C18CB"/>
    <w:rsid w:val="006C2333"/>
    <w:rsid w:val="006C3307"/>
    <w:rsid w:val="006C3342"/>
    <w:rsid w:val="006C48E3"/>
    <w:rsid w:val="006C4C1A"/>
    <w:rsid w:val="006C55AF"/>
    <w:rsid w:val="006C5EED"/>
    <w:rsid w:val="006C6366"/>
    <w:rsid w:val="006C6A50"/>
    <w:rsid w:val="006C6D77"/>
    <w:rsid w:val="006C6DF8"/>
    <w:rsid w:val="006C704B"/>
    <w:rsid w:val="006C77D6"/>
    <w:rsid w:val="006D13C8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26D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4588"/>
    <w:rsid w:val="006F48EF"/>
    <w:rsid w:val="006F5664"/>
    <w:rsid w:val="006F57E1"/>
    <w:rsid w:val="006F59CA"/>
    <w:rsid w:val="006F5DB2"/>
    <w:rsid w:val="006F677A"/>
    <w:rsid w:val="006F707B"/>
    <w:rsid w:val="006F738D"/>
    <w:rsid w:val="006F7651"/>
    <w:rsid w:val="00700D79"/>
    <w:rsid w:val="00700FEA"/>
    <w:rsid w:val="007038D6"/>
    <w:rsid w:val="007046E5"/>
    <w:rsid w:val="00706478"/>
    <w:rsid w:val="0070720F"/>
    <w:rsid w:val="00711FCB"/>
    <w:rsid w:val="00712315"/>
    <w:rsid w:val="00713126"/>
    <w:rsid w:val="00713FCD"/>
    <w:rsid w:val="0071425B"/>
    <w:rsid w:val="007145ED"/>
    <w:rsid w:val="007147A7"/>
    <w:rsid w:val="00714CC0"/>
    <w:rsid w:val="00714EF4"/>
    <w:rsid w:val="007152A9"/>
    <w:rsid w:val="00715CE3"/>
    <w:rsid w:val="00717A09"/>
    <w:rsid w:val="007219B5"/>
    <w:rsid w:val="007221BC"/>
    <w:rsid w:val="00722813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5801"/>
    <w:rsid w:val="00735918"/>
    <w:rsid w:val="007376BA"/>
    <w:rsid w:val="007377AD"/>
    <w:rsid w:val="00741730"/>
    <w:rsid w:val="00742833"/>
    <w:rsid w:val="00742F1C"/>
    <w:rsid w:val="007444DE"/>
    <w:rsid w:val="007447CE"/>
    <w:rsid w:val="007456C1"/>
    <w:rsid w:val="00745E61"/>
    <w:rsid w:val="00745E82"/>
    <w:rsid w:val="00745EB8"/>
    <w:rsid w:val="0074618E"/>
    <w:rsid w:val="007462D9"/>
    <w:rsid w:val="00750064"/>
    <w:rsid w:val="00750C4F"/>
    <w:rsid w:val="007510A8"/>
    <w:rsid w:val="0075183F"/>
    <w:rsid w:val="007531B2"/>
    <w:rsid w:val="00754740"/>
    <w:rsid w:val="007547FF"/>
    <w:rsid w:val="00754E71"/>
    <w:rsid w:val="00755021"/>
    <w:rsid w:val="00755190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2FE"/>
    <w:rsid w:val="00775A98"/>
    <w:rsid w:val="00775B32"/>
    <w:rsid w:val="00777F34"/>
    <w:rsid w:val="00782A3A"/>
    <w:rsid w:val="00783C9B"/>
    <w:rsid w:val="00784A73"/>
    <w:rsid w:val="007855EC"/>
    <w:rsid w:val="00786321"/>
    <w:rsid w:val="00787B18"/>
    <w:rsid w:val="007908BC"/>
    <w:rsid w:val="0079168B"/>
    <w:rsid w:val="00791931"/>
    <w:rsid w:val="00791A89"/>
    <w:rsid w:val="0079221B"/>
    <w:rsid w:val="0079582B"/>
    <w:rsid w:val="00795EF8"/>
    <w:rsid w:val="00796C5C"/>
    <w:rsid w:val="0079794E"/>
    <w:rsid w:val="007A15ED"/>
    <w:rsid w:val="007A1DA5"/>
    <w:rsid w:val="007A255A"/>
    <w:rsid w:val="007A3437"/>
    <w:rsid w:val="007A3A2F"/>
    <w:rsid w:val="007A48A0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6FA"/>
    <w:rsid w:val="007B772C"/>
    <w:rsid w:val="007B7958"/>
    <w:rsid w:val="007C07A8"/>
    <w:rsid w:val="007C07FE"/>
    <w:rsid w:val="007C08C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B64"/>
    <w:rsid w:val="007C7C52"/>
    <w:rsid w:val="007C7EBC"/>
    <w:rsid w:val="007D0AFA"/>
    <w:rsid w:val="007D1FBE"/>
    <w:rsid w:val="007D2656"/>
    <w:rsid w:val="007D2BB3"/>
    <w:rsid w:val="007D2D86"/>
    <w:rsid w:val="007D362F"/>
    <w:rsid w:val="007D3ABF"/>
    <w:rsid w:val="007D5CAE"/>
    <w:rsid w:val="007D5D77"/>
    <w:rsid w:val="007D6B7B"/>
    <w:rsid w:val="007D6EAB"/>
    <w:rsid w:val="007E01FF"/>
    <w:rsid w:val="007E02AE"/>
    <w:rsid w:val="007E0F55"/>
    <w:rsid w:val="007E2D3A"/>
    <w:rsid w:val="007E332E"/>
    <w:rsid w:val="007E39A9"/>
    <w:rsid w:val="007E4325"/>
    <w:rsid w:val="007E5E3B"/>
    <w:rsid w:val="007E6FCE"/>
    <w:rsid w:val="007E766C"/>
    <w:rsid w:val="007F0EBB"/>
    <w:rsid w:val="007F143B"/>
    <w:rsid w:val="007F15B6"/>
    <w:rsid w:val="007F26EA"/>
    <w:rsid w:val="007F38F5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53CC"/>
    <w:rsid w:val="00807E01"/>
    <w:rsid w:val="00810218"/>
    <w:rsid w:val="008103C7"/>
    <w:rsid w:val="00810EB2"/>
    <w:rsid w:val="008110BE"/>
    <w:rsid w:val="00811652"/>
    <w:rsid w:val="00811D18"/>
    <w:rsid w:val="008125D6"/>
    <w:rsid w:val="00812A88"/>
    <w:rsid w:val="008136E8"/>
    <w:rsid w:val="00814970"/>
    <w:rsid w:val="0081517C"/>
    <w:rsid w:val="008152F1"/>
    <w:rsid w:val="00815523"/>
    <w:rsid w:val="0081597F"/>
    <w:rsid w:val="00815A45"/>
    <w:rsid w:val="008168E3"/>
    <w:rsid w:val="00816EBF"/>
    <w:rsid w:val="0081740F"/>
    <w:rsid w:val="00820E05"/>
    <w:rsid w:val="00820F4F"/>
    <w:rsid w:val="008210B9"/>
    <w:rsid w:val="0082192F"/>
    <w:rsid w:val="00822865"/>
    <w:rsid w:val="00822CB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6F4C"/>
    <w:rsid w:val="0083714F"/>
    <w:rsid w:val="00840C09"/>
    <w:rsid w:val="00841790"/>
    <w:rsid w:val="008419F5"/>
    <w:rsid w:val="00842214"/>
    <w:rsid w:val="00842A3E"/>
    <w:rsid w:val="00842CB1"/>
    <w:rsid w:val="008464CC"/>
    <w:rsid w:val="0084767C"/>
    <w:rsid w:val="00847A78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3416"/>
    <w:rsid w:val="0086358B"/>
    <w:rsid w:val="008673E6"/>
    <w:rsid w:val="00870204"/>
    <w:rsid w:val="0087066E"/>
    <w:rsid w:val="00871018"/>
    <w:rsid w:val="00871F04"/>
    <w:rsid w:val="008721E3"/>
    <w:rsid w:val="00872D05"/>
    <w:rsid w:val="008734E2"/>
    <w:rsid w:val="00873AF5"/>
    <w:rsid w:val="00873C95"/>
    <w:rsid w:val="00874062"/>
    <w:rsid w:val="00874384"/>
    <w:rsid w:val="008743B4"/>
    <w:rsid w:val="0087552D"/>
    <w:rsid w:val="00880188"/>
    <w:rsid w:val="008801B0"/>
    <w:rsid w:val="0088144E"/>
    <w:rsid w:val="0088226C"/>
    <w:rsid w:val="00882F60"/>
    <w:rsid w:val="00883E2E"/>
    <w:rsid w:val="008854EF"/>
    <w:rsid w:val="00886750"/>
    <w:rsid w:val="00886DC2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86F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0F59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5C1A"/>
    <w:rsid w:val="008C63C3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16E"/>
    <w:rsid w:val="008E22B9"/>
    <w:rsid w:val="008E25E6"/>
    <w:rsid w:val="008E269C"/>
    <w:rsid w:val="008E3EC5"/>
    <w:rsid w:val="008E4634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4F53"/>
    <w:rsid w:val="008F56C7"/>
    <w:rsid w:val="008F5FED"/>
    <w:rsid w:val="008F63DE"/>
    <w:rsid w:val="008F6932"/>
    <w:rsid w:val="008F7278"/>
    <w:rsid w:val="008F7417"/>
    <w:rsid w:val="00901E68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2FF"/>
    <w:rsid w:val="009116A4"/>
    <w:rsid w:val="0091362F"/>
    <w:rsid w:val="00913893"/>
    <w:rsid w:val="0091417D"/>
    <w:rsid w:val="0091564D"/>
    <w:rsid w:val="00915DD6"/>
    <w:rsid w:val="00915E91"/>
    <w:rsid w:val="00916769"/>
    <w:rsid w:val="009169BA"/>
    <w:rsid w:val="00916E0D"/>
    <w:rsid w:val="00916E40"/>
    <w:rsid w:val="009173E7"/>
    <w:rsid w:val="009201BE"/>
    <w:rsid w:val="009202AD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BB8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3CBA"/>
    <w:rsid w:val="00974859"/>
    <w:rsid w:val="009748CC"/>
    <w:rsid w:val="00974E7E"/>
    <w:rsid w:val="00974F70"/>
    <w:rsid w:val="00975092"/>
    <w:rsid w:val="00975633"/>
    <w:rsid w:val="0097601C"/>
    <w:rsid w:val="00981398"/>
    <w:rsid w:val="00981412"/>
    <w:rsid w:val="009816E3"/>
    <w:rsid w:val="009837A4"/>
    <w:rsid w:val="00985D0E"/>
    <w:rsid w:val="009868E7"/>
    <w:rsid w:val="009873E9"/>
    <w:rsid w:val="009908C2"/>
    <w:rsid w:val="00991BF9"/>
    <w:rsid w:val="00992030"/>
    <w:rsid w:val="00992048"/>
    <w:rsid w:val="009924C8"/>
    <w:rsid w:val="00992977"/>
    <w:rsid w:val="00993B9C"/>
    <w:rsid w:val="0099476F"/>
    <w:rsid w:val="00996070"/>
    <w:rsid w:val="009973CD"/>
    <w:rsid w:val="009974D2"/>
    <w:rsid w:val="0099784F"/>
    <w:rsid w:val="00997C9C"/>
    <w:rsid w:val="00997F2C"/>
    <w:rsid w:val="009A02A4"/>
    <w:rsid w:val="009A04E7"/>
    <w:rsid w:val="009A069F"/>
    <w:rsid w:val="009A0D68"/>
    <w:rsid w:val="009A0E00"/>
    <w:rsid w:val="009A121A"/>
    <w:rsid w:val="009A1779"/>
    <w:rsid w:val="009A1E78"/>
    <w:rsid w:val="009A27BC"/>
    <w:rsid w:val="009A3236"/>
    <w:rsid w:val="009A40E5"/>
    <w:rsid w:val="009A466E"/>
    <w:rsid w:val="009A51C2"/>
    <w:rsid w:val="009A5B84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479D"/>
    <w:rsid w:val="009B51A5"/>
    <w:rsid w:val="009B52B1"/>
    <w:rsid w:val="009B66C8"/>
    <w:rsid w:val="009C00AE"/>
    <w:rsid w:val="009C0494"/>
    <w:rsid w:val="009C1DCE"/>
    <w:rsid w:val="009C20B1"/>
    <w:rsid w:val="009C2E4E"/>
    <w:rsid w:val="009C3805"/>
    <w:rsid w:val="009C555F"/>
    <w:rsid w:val="009C58BD"/>
    <w:rsid w:val="009C5A9D"/>
    <w:rsid w:val="009C5F1F"/>
    <w:rsid w:val="009C6A6F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228"/>
    <w:rsid w:val="009E1B7D"/>
    <w:rsid w:val="009E284C"/>
    <w:rsid w:val="009E353C"/>
    <w:rsid w:val="009E3E7A"/>
    <w:rsid w:val="009E4E50"/>
    <w:rsid w:val="009E5149"/>
    <w:rsid w:val="009E55DC"/>
    <w:rsid w:val="009E5A8B"/>
    <w:rsid w:val="009E6093"/>
    <w:rsid w:val="009E653E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07B"/>
    <w:rsid w:val="009F554F"/>
    <w:rsid w:val="009F559D"/>
    <w:rsid w:val="009F6A06"/>
    <w:rsid w:val="009F72C0"/>
    <w:rsid w:val="009F73AB"/>
    <w:rsid w:val="009F7F3A"/>
    <w:rsid w:val="00A00C65"/>
    <w:rsid w:val="00A01256"/>
    <w:rsid w:val="00A02C11"/>
    <w:rsid w:val="00A03C72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0F1F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4BDA"/>
    <w:rsid w:val="00A36D5D"/>
    <w:rsid w:val="00A370A3"/>
    <w:rsid w:val="00A37C65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47C7D"/>
    <w:rsid w:val="00A504CC"/>
    <w:rsid w:val="00A50C45"/>
    <w:rsid w:val="00A50EC7"/>
    <w:rsid w:val="00A51813"/>
    <w:rsid w:val="00A51C2B"/>
    <w:rsid w:val="00A51DCE"/>
    <w:rsid w:val="00A53A92"/>
    <w:rsid w:val="00A54DAA"/>
    <w:rsid w:val="00A558DC"/>
    <w:rsid w:val="00A55F52"/>
    <w:rsid w:val="00A56DAF"/>
    <w:rsid w:val="00A57284"/>
    <w:rsid w:val="00A6383F"/>
    <w:rsid w:val="00A64837"/>
    <w:rsid w:val="00A64F03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1469"/>
    <w:rsid w:val="00A716D2"/>
    <w:rsid w:val="00A7230B"/>
    <w:rsid w:val="00A75032"/>
    <w:rsid w:val="00A771FE"/>
    <w:rsid w:val="00A77903"/>
    <w:rsid w:val="00A80A21"/>
    <w:rsid w:val="00A81A34"/>
    <w:rsid w:val="00A81F16"/>
    <w:rsid w:val="00A83D53"/>
    <w:rsid w:val="00A84085"/>
    <w:rsid w:val="00A8702D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286B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4CCA"/>
    <w:rsid w:val="00AA5C73"/>
    <w:rsid w:val="00AA5EB8"/>
    <w:rsid w:val="00AA7877"/>
    <w:rsid w:val="00AA7F3B"/>
    <w:rsid w:val="00AB1BC5"/>
    <w:rsid w:val="00AB34FB"/>
    <w:rsid w:val="00AB386C"/>
    <w:rsid w:val="00AB3EA7"/>
    <w:rsid w:val="00AB4DAE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C7C3F"/>
    <w:rsid w:val="00AD0CB0"/>
    <w:rsid w:val="00AD1131"/>
    <w:rsid w:val="00AD1394"/>
    <w:rsid w:val="00AD1EAE"/>
    <w:rsid w:val="00AD4CA1"/>
    <w:rsid w:val="00AD516F"/>
    <w:rsid w:val="00AD5589"/>
    <w:rsid w:val="00AD662A"/>
    <w:rsid w:val="00AE00A8"/>
    <w:rsid w:val="00AE0344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6018"/>
    <w:rsid w:val="00AE789D"/>
    <w:rsid w:val="00AE7D59"/>
    <w:rsid w:val="00AF20EE"/>
    <w:rsid w:val="00AF21AB"/>
    <w:rsid w:val="00AF2A5D"/>
    <w:rsid w:val="00AF39F4"/>
    <w:rsid w:val="00AF4AD9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4829"/>
    <w:rsid w:val="00B0664F"/>
    <w:rsid w:val="00B0665E"/>
    <w:rsid w:val="00B07071"/>
    <w:rsid w:val="00B119E8"/>
    <w:rsid w:val="00B11C1D"/>
    <w:rsid w:val="00B12CED"/>
    <w:rsid w:val="00B13427"/>
    <w:rsid w:val="00B13CF4"/>
    <w:rsid w:val="00B15092"/>
    <w:rsid w:val="00B159F0"/>
    <w:rsid w:val="00B15BBF"/>
    <w:rsid w:val="00B16192"/>
    <w:rsid w:val="00B173B8"/>
    <w:rsid w:val="00B20CD7"/>
    <w:rsid w:val="00B20D00"/>
    <w:rsid w:val="00B20FC7"/>
    <w:rsid w:val="00B21953"/>
    <w:rsid w:val="00B219E0"/>
    <w:rsid w:val="00B22F71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90E"/>
    <w:rsid w:val="00B37B83"/>
    <w:rsid w:val="00B411C5"/>
    <w:rsid w:val="00B415F6"/>
    <w:rsid w:val="00B417FD"/>
    <w:rsid w:val="00B4221C"/>
    <w:rsid w:val="00B42441"/>
    <w:rsid w:val="00B443CB"/>
    <w:rsid w:val="00B460C7"/>
    <w:rsid w:val="00B47966"/>
    <w:rsid w:val="00B47F23"/>
    <w:rsid w:val="00B50FC3"/>
    <w:rsid w:val="00B51AB0"/>
    <w:rsid w:val="00B528E7"/>
    <w:rsid w:val="00B536BA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166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77B8"/>
    <w:rsid w:val="00BA0471"/>
    <w:rsid w:val="00BA05D8"/>
    <w:rsid w:val="00BA0BC2"/>
    <w:rsid w:val="00BA0C2D"/>
    <w:rsid w:val="00BA0C40"/>
    <w:rsid w:val="00BA10DA"/>
    <w:rsid w:val="00BA3FC9"/>
    <w:rsid w:val="00BA5047"/>
    <w:rsid w:val="00BA54C2"/>
    <w:rsid w:val="00BA5650"/>
    <w:rsid w:val="00BA62A8"/>
    <w:rsid w:val="00BA70C1"/>
    <w:rsid w:val="00BB188F"/>
    <w:rsid w:val="00BB1ED9"/>
    <w:rsid w:val="00BB1FC3"/>
    <w:rsid w:val="00BB26EE"/>
    <w:rsid w:val="00BB2967"/>
    <w:rsid w:val="00BB2ACB"/>
    <w:rsid w:val="00BB424C"/>
    <w:rsid w:val="00BB473E"/>
    <w:rsid w:val="00BB5810"/>
    <w:rsid w:val="00BB6169"/>
    <w:rsid w:val="00BB67AF"/>
    <w:rsid w:val="00BB7092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4ED"/>
    <w:rsid w:val="00BD0C7E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02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2D"/>
    <w:rsid w:val="00BF37EE"/>
    <w:rsid w:val="00BF4758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3B9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276"/>
    <w:rsid w:val="00C1374D"/>
    <w:rsid w:val="00C13CEC"/>
    <w:rsid w:val="00C14121"/>
    <w:rsid w:val="00C1487A"/>
    <w:rsid w:val="00C150B4"/>
    <w:rsid w:val="00C1522B"/>
    <w:rsid w:val="00C15580"/>
    <w:rsid w:val="00C17736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8E7"/>
    <w:rsid w:val="00C25AF4"/>
    <w:rsid w:val="00C26D8A"/>
    <w:rsid w:val="00C27258"/>
    <w:rsid w:val="00C279ED"/>
    <w:rsid w:val="00C27FA8"/>
    <w:rsid w:val="00C30D63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47743"/>
    <w:rsid w:val="00C500C4"/>
    <w:rsid w:val="00C50E69"/>
    <w:rsid w:val="00C542C1"/>
    <w:rsid w:val="00C55D59"/>
    <w:rsid w:val="00C57336"/>
    <w:rsid w:val="00C5761A"/>
    <w:rsid w:val="00C5776E"/>
    <w:rsid w:val="00C60D5A"/>
    <w:rsid w:val="00C645CB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77913"/>
    <w:rsid w:val="00C801E7"/>
    <w:rsid w:val="00C804E6"/>
    <w:rsid w:val="00C80AC8"/>
    <w:rsid w:val="00C80E69"/>
    <w:rsid w:val="00C819A3"/>
    <w:rsid w:val="00C822A8"/>
    <w:rsid w:val="00C83E78"/>
    <w:rsid w:val="00C84CE2"/>
    <w:rsid w:val="00C85CDE"/>
    <w:rsid w:val="00C85CFF"/>
    <w:rsid w:val="00C90ED8"/>
    <w:rsid w:val="00C914DD"/>
    <w:rsid w:val="00C91CC2"/>
    <w:rsid w:val="00C92E08"/>
    <w:rsid w:val="00C97052"/>
    <w:rsid w:val="00CA04BA"/>
    <w:rsid w:val="00CA0EF2"/>
    <w:rsid w:val="00CA1F0F"/>
    <w:rsid w:val="00CA3241"/>
    <w:rsid w:val="00CA32E2"/>
    <w:rsid w:val="00CA489B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258A"/>
    <w:rsid w:val="00CB36B1"/>
    <w:rsid w:val="00CB3943"/>
    <w:rsid w:val="00CB3C42"/>
    <w:rsid w:val="00CB449E"/>
    <w:rsid w:val="00CB70EA"/>
    <w:rsid w:val="00CB72F3"/>
    <w:rsid w:val="00CB750C"/>
    <w:rsid w:val="00CB781E"/>
    <w:rsid w:val="00CC0723"/>
    <w:rsid w:val="00CC1A5C"/>
    <w:rsid w:val="00CC2892"/>
    <w:rsid w:val="00CC2F0E"/>
    <w:rsid w:val="00CC3323"/>
    <w:rsid w:val="00CC4B81"/>
    <w:rsid w:val="00CC4DD6"/>
    <w:rsid w:val="00CC4E5D"/>
    <w:rsid w:val="00CC550A"/>
    <w:rsid w:val="00CC5B6E"/>
    <w:rsid w:val="00CC635F"/>
    <w:rsid w:val="00CD01E0"/>
    <w:rsid w:val="00CD32CF"/>
    <w:rsid w:val="00CD407F"/>
    <w:rsid w:val="00CD40F9"/>
    <w:rsid w:val="00CD48CE"/>
    <w:rsid w:val="00CD4CB5"/>
    <w:rsid w:val="00CD557E"/>
    <w:rsid w:val="00CD5CD2"/>
    <w:rsid w:val="00CD5F3D"/>
    <w:rsid w:val="00CD5FE7"/>
    <w:rsid w:val="00CD604B"/>
    <w:rsid w:val="00CD6EED"/>
    <w:rsid w:val="00CE0241"/>
    <w:rsid w:val="00CE06B3"/>
    <w:rsid w:val="00CE12B1"/>
    <w:rsid w:val="00CE152A"/>
    <w:rsid w:val="00CE1BA4"/>
    <w:rsid w:val="00CE26CD"/>
    <w:rsid w:val="00CE6D3D"/>
    <w:rsid w:val="00CE745B"/>
    <w:rsid w:val="00CE7AC6"/>
    <w:rsid w:val="00CE7F2F"/>
    <w:rsid w:val="00CE7FC8"/>
    <w:rsid w:val="00CF09C5"/>
    <w:rsid w:val="00CF18E7"/>
    <w:rsid w:val="00CF220C"/>
    <w:rsid w:val="00CF2371"/>
    <w:rsid w:val="00CF2CEF"/>
    <w:rsid w:val="00CF3904"/>
    <w:rsid w:val="00CF43F6"/>
    <w:rsid w:val="00CF4AED"/>
    <w:rsid w:val="00CF6C69"/>
    <w:rsid w:val="00D00D29"/>
    <w:rsid w:val="00D01664"/>
    <w:rsid w:val="00D03243"/>
    <w:rsid w:val="00D038CC"/>
    <w:rsid w:val="00D03FF6"/>
    <w:rsid w:val="00D04B2E"/>
    <w:rsid w:val="00D04BA7"/>
    <w:rsid w:val="00D055ED"/>
    <w:rsid w:val="00D10628"/>
    <w:rsid w:val="00D12991"/>
    <w:rsid w:val="00D1340E"/>
    <w:rsid w:val="00D13C9E"/>
    <w:rsid w:val="00D14739"/>
    <w:rsid w:val="00D147C8"/>
    <w:rsid w:val="00D16A1C"/>
    <w:rsid w:val="00D16A2E"/>
    <w:rsid w:val="00D16C4A"/>
    <w:rsid w:val="00D17FF8"/>
    <w:rsid w:val="00D20034"/>
    <w:rsid w:val="00D201EF"/>
    <w:rsid w:val="00D20509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1C81"/>
    <w:rsid w:val="00D3275F"/>
    <w:rsid w:val="00D32945"/>
    <w:rsid w:val="00D32A41"/>
    <w:rsid w:val="00D32E79"/>
    <w:rsid w:val="00D334B0"/>
    <w:rsid w:val="00D3368C"/>
    <w:rsid w:val="00D34F31"/>
    <w:rsid w:val="00D3519D"/>
    <w:rsid w:val="00D35B90"/>
    <w:rsid w:val="00D3629F"/>
    <w:rsid w:val="00D37A9B"/>
    <w:rsid w:val="00D37BF9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7F8"/>
    <w:rsid w:val="00D44D08"/>
    <w:rsid w:val="00D4567B"/>
    <w:rsid w:val="00D4579C"/>
    <w:rsid w:val="00D46996"/>
    <w:rsid w:val="00D46E51"/>
    <w:rsid w:val="00D505CA"/>
    <w:rsid w:val="00D51B1F"/>
    <w:rsid w:val="00D523B4"/>
    <w:rsid w:val="00D52898"/>
    <w:rsid w:val="00D52F6C"/>
    <w:rsid w:val="00D5381C"/>
    <w:rsid w:val="00D53B20"/>
    <w:rsid w:val="00D55D38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31D"/>
    <w:rsid w:val="00D81874"/>
    <w:rsid w:val="00D81C11"/>
    <w:rsid w:val="00D8221A"/>
    <w:rsid w:val="00D836B3"/>
    <w:rsid w:val="00D83EB6"/>
    <w:rsid w:val="00D85013"/>
    <w:rsid w:val="00D85AE6"/>
    <w:rsid w:val="00D87BF6"/>
    <w:rsid w:val="00D87DDB"/>
    <w:rsid w:val="00D91F78"/>
    <w:rsid w:val="00D92959"/>
    <w:rsid w:val="00D93655"/>
    <w:rsid w:val="00D9426A"/>
    <w:rsid w:val="00D9453F"/>
    <w:rsid w:val="00D945A9"/>
    <w:rsid w:val="00D97199"/>
    <w:rsid w:val="00DA1147"/>
    <w:rsid w:val="00DA247F"/>
    <w:rsid w:val="00DA4CC1"/>
    <w:rsid w:val="00DA6E91"/>
    <w:rsid w:val="00DA7BE5"/>
    <w:rsid w:val="00DB0303"/>
    <w:rsid w:val="00DB1A17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2753"/>
    <w:rsid w:val="00DC3B88"/>
    <w:rsid w:val="00DC44A3"/>
    <w:rsid w:val="00DC4A29"/>
    <w:rsid w:val="00DC5536"/>
    <w:rsid w:val="00DC581C"/>
    <w:rsid w:val="00DC5AB8"/>
    <w:rsid w:val="00DC6368"/>
    <w:rsid w:val="00DC6EC5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2A04"/>
    <w:rsid w:val="00DD352A"/>
    <w:rsid w:val="00DD36CF"/>
    <w:rsid w:val="00DD36D7"/>
    <w:rsid w:val="00DD4DEA"/>
    <w:rsid w:val="00DD6171"/>
    <w:rsid w:val="00DD633E"/>
    <w:rsid w:val="00DD63E7"/>
    <w:rsid w:val="00DD727A"/>
    <w:rsid w:val="00DD73A4"/>
    <w:rsid w:val="00DD787E"/>
    <w:rsid w:val="00DE01D9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E79DD"/>
    <w:rsid w:val="00DF005D"/>
    <w:rsid w:val="00DF099C"/>
    <w:rsid w:val="00DF0DD9"/>
    <w:rsid w:val="00DF1C8C"/>
    <w:rsid w:val="00DF2600"/>
    <w:rsid w:val="00DF27CD"/>
    <w:rsid w:val="00DF4AB8"/>
    <w:rsid w:val="00DF565A"/>
    <w:rsid w:val="00E0090A"/>
    <w:rsid w:val="00E0231E"/>
    <w:rsid w:val="00E02E58"/>
    <w:rsid w:val="00E03F93"/>
    <w:rsid w:val="00E04C16"/>
    <w:rsid w:val="00E04C92"/>
    <w:rsid w:val="00E0554D"/>
    <w:rsid w:val="00E05EA6"/>
    <w:rsid w:val="00E06982"/>
    <w:rsid w:val="00E106F4"/>
    <w:rsid w:val="00E109C2"/>
    <w:rsid w:val="00E1159D"/>
    <w:rsid w:val="00E11B68"/>
    <w:rsid w:val="00E1299F"/>
    <w:rsid w:val="00E12AF6"/>
    <w:rsid w:val="00E135CE"/>
    <w:rsid w:val="00E142D4"/>
    <w:rsid w:val="00E145C5"/>
    <w:rsid w:val="00E155D0"/>
    <w:rsid w:val="00E15971"/>
    <w:rsid w:val="00E15DD0"/>
    <w:rsid w:val="00E178A6"/>
    <w:rsid w:val="00E17B42"/>
    <w:rsid w:val="00E17DDB"/>
    <w:rsid w:val="00E20979"/>
    <w:rsid w:val="00E214B2"/>
    <w:rsid w:val="00E21A5B"/>
    <w:rsid w:val="00E22C27"/>
    <w:rsid w:val="00E23330"/>
    <w:rsid w:val="00E238A6"/>
    <w:rsid w:val="00E23FCD"/>
    <w:rsid w:val="00E24251"/>
    <w:rsid w:val="00E24850"/>
    <w:rsid w:val="00E26AF6"/>
    <w:rsid w:val="00E27076"/>
    <w:rsid w:val="00E305B5"/>
    <w:rsid w:val="00E30E74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357D"/>
    <w:rsid w:val="00E43DC7"/>
    <w:rsid w:val="00E44700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7BB"/>
    <w:rsid w:val="00E56932"/>
    <w:rsid w:val="00E56DB9"/>
    <w:rsid w:val="00E61073"/>
    <w:rsid w:val="00E6303E"/>
    <w:rsid w:val="00E649B7"/>
    <w:rsid w:val="00E649EE"/>
    <w:rsid w:val="00E65DE0"/>
    <w:rsid w:val="00E67783"/>
    <w:rsid w:val="00E67798"/>
    <w:rsid w:val="00E67BBC"/>
    <w:rsid w:val="00E7147A"/>
    <w:rsid w:val="00E717B6"/>
    <w:rsid w:val="00E7181B"/>
    <w:rsid w:val="00E71AFE"/>
    <w:rsid w:val="00E71BA4"/>
    <w:rsid w:val="00E71FB6"/>
    <w:rsid w:val="00E721BA"/>
    <w:rsid w:val="00E7253E"/>
    <w:rsid w:val="00E727CD"/>
    <w:rsid w:val="00E731B3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051"/>
    <w:rsid w:val="00E8634B"/>
    <w:rsid w:val="00E870A9"/>
    <w:rsid w:val="00E879BD"/>
    <w:rsid w:val="00E90A78"/>
    <w:rsid w:val="00E93AD5"/>
    <w:rsid w:val="00E94296"/>
    <w:rsid w:val="00E94996"/>
    <w:rsid w:val="00E94AB3"/>
    <w:rsid w:val="00E96D9E"/>
    <w:rsid w:val="00E96E67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3FBE"/>
    <w:rsid w:val="00EB4616"/>
    <w:rsid w:val="00EB505B"/>
    <w:rsid w:val="00EB518A"/>
    <w:rsid w:val="00EB784E"/>
    <w:rsid w:val="00EB78B4"/>
    <w:rsid w:val="00EB7F09"/>
    <w:rsid w:val="00EC04C8"/>
    <w:rsid w:val="00EC0903"/>
    <w:rsid w:val="00EC13DE"/>
    <w:rsid w:val="00EC1625"/>
    <w:rsid w:val="00EC2082"/>
    <w:rsid w:val="00EC37B1"/>
    <w:rsid w:val="00EC4137"/>
    <w:rsid w:val="00EC453B"/>
    <w:rsid w:val="00EC498C"/>
    <w:rsid w:val="00EC5CD6"/>
    <w:rsid w:val="00EC6065"/>
    <w:rsid w:val="00EC619B"/>
    <w:rsid w:val="00EC6637"/>
    <w:rsid w:val="00EC6B0E"/>
    <w:rsid w:val="00EC70E5"/>
    <w:rsid w:val="00ED0022"/>
    <w:rsid w:val="00ED06E0"/>
    <w:rsid w:val="00ED09BC"/>
    <w:rsid w:val="00ED0B25"/>
    <w:rsid w:val="00ED1F58"/>
    <w:rsid w:val="00ED5409"/>
    <w:rsid w:val="00EE0AD6"/>
    <w:rsid w:val="00EE3570"/>
    <w:rsid w:val="00EE397D"/>
    <w:rsid w:val="00EE445E"/>
    <w:rsid w:val="00EE60E8"/>
    <w:rsid w:val="00EE61A2"/>
    <w:rsid w:val="00EF056A"/>
    <w:rsid w:val="00EF0FB5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0F95"/>
    <w:rsid w:val="00F0196A"/>
    <w:rsid w:val="00F01E32"/>
    <w:rsid w:val="00F01F55"/>
    <w:rsid w:val="00F03100"/>
    <w:rsid w:val="00F054BB"/>
    <w:rsid w:val="00F054C6"/>
    <w:rsid w:val="00F055E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1F4F"/>
    <w:rsid w:val="00F2547E"/>
    <w:rsid w:val="00F2559E"/>
    <w:rsid w:val="00F26178"/>
    <w:rsid w:val="00F2621C"/>
    <w:rsid w:val="00F2707F"/>
    <w:rsid w:val="00F27E75"/>
    <w:rsid w:val="00F301AF"/>
    <w:rsid w:val="00F30D8F"/>
    <w:rsid w:val="00F34BD4"/>
    <w:rsid w:val="00F3619A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17B2"/>
    <w:rsid w:val="00F53566"/>
    <w:rsid w:val="00F53681"/>
    <w:rsid w:val="00F540FF"/>
    <w:rsid w:val="00F55C5F"/>
    <w:rsid w:val="00F56567"/>
    <w:rsid w:val="00F57F71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2DD3"/>
    <w:rsid w:val="00F738D4"/>
    <w:rsid w:val="00F73BD9"/>
    <w:rsid w:val="00F75151"/>
    <w:rsid w:val="00F7613C"/>
    <w:rsid w:val="00F762F3"/>
    <w:rsid w:val="00F76AB5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87597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5BD9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0AF3"/>
    <w:rsid w:val="00FB1752"/>
    <w:rsid w:val="00FB34DF"/>
    <w:rsid w:val="00FB36C9"/>
    <w:rsid w:val="00FB427E"/>
    <w:rsid w:val="00FB4329"/>
    <w:rsid w:val="00FB52CE"/>
    <w:rsid w:val="00FB5881"/>
    <w:rsid w:val="00FB5B8B"/>
    <w:rsid w:val="00FB6607"/>
    <w:rsid w:val="00FB6F7E"/>
    <w:rsid w:val="00FC15A2"/>
    <w:rsid w:val="00FC187B"/>
    <w:rsid w:val="00FC341C"/>
    <w:rsid w:val="00FC3460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6845"/>
    <w:rsid w:val="00FD7044"/>
    <w:rsid w:val="00FD7ACA"/>
    <w:rsid w:val="00FD7EDA"/>
    <w:rsid w:val="00FD7F97"/>
    <w:rsid w:val="00FE0A5C"/>
    <w:rsid w:val="00FE1862"/>
    <w:rsid w:val="00FE18E8"/>
    <w:rsid w:val="00FE3841"/>
    <w:rsid w:val="00FE4142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99B"/>
    <w:rsid w:val="00FF3E41"/>
    <w:rsid w:val="00FF56C6"/>
    <w:rsid w:val="00FF5EDD"/>
    <w:rsid w:val="00FF6DD9"/>
    <w:rsid w:val="00FF752C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146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A714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1469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ZGSM">
    <w:name w:val="ZGSM"/>
    <w:rsid w:val="002A4D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146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A714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1469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ZGSM">
    <w:name w:val="ZGSM"/>
    <w:rsid w:val="002A4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23002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870265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E35BD-72C1-48B3-A3F8-6968FC993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6</Pages>
  <Words>1657</Words>
  <Characters>9450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11085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Xingqin Lin</cp:lastModifiedBy>
  <cp:revision>401</cp:revision>
  <cp:lastPrinted>2013-02-08T15:42:00Z</cp:lastPrinted>
  <dcterms:created xsi:type="dcterms:W3CDTF">2014-07-28T07:18:00Z</dcterms:created>
  <dcterms:modified xsi:type="dcterms:W3CDTF">2015-08-04T22:03:00Z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